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895DFC" w:rsidRPr="00895DFC" w14:paraId="6095B37B" w14:textId="77777777" w:rsidTr="00895DFC">
        <w:trPr>
          <w:tblCellSpacing w:w="15" w:type="dxa"/>
        </w:trPr>
        <w:tc>
          <w:tcPr>
            <w:tcW w:w="0" w:type="auto"/>
            <w:hideMark/>
          </w:tcPr>
          <w:p w14:paraId="5410A4F0" w14:textId="783DF870" w:rsidR="00895DFC" w:rsidRPr="001726BB" w:rsidRDefault="00895DFC" w:rsidP="00895DFC">
            <w:pPr>
              <w:rPr>
                <w:b/>
                <w:bCs/>
              </w:rPr>
            </w:pPr>
            <w:r w:rsidRPr="001726BB">
              <w:rPr>
                <w:b/>
                <w:bCs/>
              </w:rPr>
              <w:t>State Entity- DHHS</w:t>
            </w:r>
            <w:r w:rsidR="00446905" w:rsidRPr="001726BB">
              <w:rPr>
                <w:b/>
                <w:bCs/>
              </w:rPr>
              <w:t>- DAAS</w:t>
            </w:r>
          </w:p>
          <w:p w14:paraId="2F18FDC2" w14:textId="36C6C8D7" w:rsidR="00446905" w:rsidRPr="001726BB" w:rsidRDefault="00446905" w:rsidP="00895DFC">
            <w:pPr>
              <w:rPr>
                <w:color w:val="4472C4" w:themeColor="accent1"/>
              </w:rPr>
            </w:pPr>
            <w:r w:rsidRPr="001726BB">
              <w:rPr>
                <w:color w:val="4472C4" w:themeColor="accent1"/>
              </w:rPr>
              <w:t>Denyse Leake</w:t>
            </w:r>
          </w:p>
          <w:p w14:paraId="1D94628E" w14:textId="2CEA8CDF" w:rsidR="00446905" w:rsidRPr="00895DFC" w:rsidRDefault="00446905" w:rsidP="00895DFC">
            <w:r w:rsidRPr="001726BB">
              <w:rPr>
                <w:color w:val="4472C4" w:themeColor="accent1"/>
              </w:rPr>
              <w:t>Kasie Odham</w:t>
            </w:r>
          </w:p>
        </w:tc>
      </w:tr>
      <w:tr w:rsidR="00895DFC" w:rsidRPr="00895DFC" w14:paraId="545CD0E8" w14:textId="77777777" w:rsidTr="00895DFC">
        <w:trPr>
          <w:tblCellSpacing w:w="15" w:type="dxa"/>
        </w:trPr>
        <w:tc>
          <w:tcPr>
            <w:tcW w:w="0" w:type="auto"/>
            <w:hideMark/>
          </w:tcPr>
          <w:p w14:paraId="6A1363FA" w14:textId="5D0F30C7" w:rsidR="00895DFC" w:rsidRPr="00895DFC" w:rsidRDefault="00895DFC" w:rsidP="00895DFC">
            <w:r w:rsidRPr="001726BB">
              <w:rPr>
                <w:b/>
                <w:bCs/>
              </w:rPr>
              <w:t>Contact Number</w:t>
            </w:r>
            <w:r w:rsidR="00446905" w:rsidRPr="001726BB">
              <w:rPr>
                <w:b/>
                <w:bCs/>
              </w:rPr>
              <w:t>:</w:t>
            </w:r>
            <w:r w:rsidR="00446905">
              <w:t xml:space="preserve"> </w:t>
            </w:r>
            <w:r w:rsidR="00446905" w:rsidRPr="001726BB">
              <w:rPr>
                <w:color w:val="4472C4" w:themeColor="accent1"/>
              </w:rPr>
              <w:t>Denyse: 919-815-4970   Kasie:919-855-3422</w:t>
            </w:r>
          </w:p>
          <w:p w14:paraId="2402AAEB" w14:textId="30C4B1A4" w:rsidR="00446905" w:rsidRPr="001726BB" w:rsidRDefault="00895DFC" w:rsidP="00895DFC">
            <w:pPr>
              <w:rPr>
                <w:b/>
                <w:bCs/>
              </w:rPr>
            </w:pPr>
            <w:r w:rsidRPr="001726BB">
              <w:rPr>
                <w:b/>
                <w:bCs/>
                <w:u w:val="single"/>
              </w:rPr>
              <w:t>Position</w:t>
            </w:r>
            <w:r w:rsidRPr="001726BB">
              <w:rPr>
                <w:b/>
                <w:bCs/>
              </w:rPr>
              <w:t xml:space="preserve"> of Contact Number Person</w:t>
            </w:r>
            <w:r w:rsidR="00446905" w:rsidRPr="001726BB">
              <w:rPr>
                <w:b/>
                <w:bCs/>
              </w:rPr>
              <w:t xml:space="preserve">: </w:t>
            </w:r>
          </w:p>
          <w:p w14:paraId="123C77DF" w14:textId="77777777" w:rsidR="00446905" w:rsidRPr="001726BB" w:rsidRDefault="00446905" w:rsidP="00895DFC">
            <w:pPr>
              <w:rPr>
                <w:color w:val="4472C4" w:themeColor="accent1"/>
              </w:rPr>
            </w:pPr>
            <w:r w:rsidRPr="001726BB">
              <w:rPr>
                <w:color w:val="4472C4" w:themeColor="accent1"/>
              </w:rPr>
              <w:t xml:space="preserve">Denyse: APS Program Consultant  </w:t>
            </w:r>
          </w:p>
          <w:p w14:paraId="04EF560D" w14:textId="04DFA152" w:rsidR="00895DFC" w:rsidRPr="001726BB" w:rsidRDefault="00446905" w:rsidP="00895DFC">
            <w:pPr>
              <w:rPr>
                <w:color w:val="4472C4" w:themeColor="accent1"/>
              </w:rPr>
            </w:pPr>
            <w:r w:rsidRPr="001726BB">
              <w:rPr>
                <w:color w:val="4472C4" w:themeColor="accent1"/>
              </w:rPr>
              <w:t xml:space="preserve">Kasie: APS Program Coordinator </w:t>
            </w:r>
          </w:p>
          <w:p w14:paraId="4B84F185" w14:textId="72A8B8E9" w:rsidR="00446905" w:rsidRPr="00895DFC" w:rsidRDefault="00895DFC" w:rsidP="00895DFC">
            <w:pPr>
              <w:rPr>
                <w:color w:val="2F5496" w:themeColor="accent1" w:themeShade="BF"/>
              </w:rPr>
            </w:pPr>
            <w:r w:rsidRPr="001726BB">
              <w:rPr>
                <w:b/>
                <w:bCs/>
              </w:rPr>
              <w:t>Web address</w:t>
            </w:r>
            <w:r w:rsidR="00446905" w:rsidRPr="001726BB">
              <w:rPr>
                <w:b/>
                <w:bCs/>
              </w:rPr>
              <w:t>:</w:t>
            </w:r>
            <w:r w:rsidR="00446905">
              <w:t xml:space="preserve"> </w:t>
            </w:r>
            <w:r w:rsidR="00446905" w:rsidRPr="001726BB">
              <w:rPr>
                <w:color w:val="4472C4" w:themeColor="accent1"/>
              </w:rPr>
              <w:t>https://www.ncdhhs.gov/divisions/aging-and-adult-services</w:t>
            </w:r>
          </w:p>
          <w:p w14:paraId="7062FA05" w14:textId="77777777" w:rsidR="00895DFC" w:rsidRPr="001726BB" w:rsidRDefault="00895DFC" w:rsidP="00895DFC">
            <w:pPr>
              <w:rPr>
                <w:b/>
                <w:bCs/>
              </w:rPr>
            </w:pPr>
            <w:r w:rsidRPr="001726BB">
              <w:rPr>
                <w:b/>
                <w:bCs/>
              </w:rPr>
              <w:t>Social media: does the entity respond to inquiries via social media? Which social media outlet?</w:t>
            </w:r>
          </w:p>
          <w:p w14:paraId="56820092" w14:textId="05776A18" w:rsidR="00A3375A" w:rsidRPr="00895DFC" w:rsidRDefault="00A3375A" w:rsidP="00895DFC">
            <w:r w:rsidRPr="001726BB">
              <w:rPr>
                <w:color w:val="4472C4" w:themeColor="accent1"/>
              </w:rPr>
              <w:t>None, specific to Division of Aging and Adult Services</w:t>
            </w:r>
          </w:p>
        </w:tc>
      </w:tr>
      <w:tr w:rsidR="00895DFC" w:rsidRPr="00895DFC" w14:paraId="00580065" w14:textId="77777777" w:rsidTr="00895DFC">
        <w:trPr>
          <w:tblCellSpacing w:w="15" w:type="dxa"/>
        </w:trPr>
        <w:tc>
          <w:tcPr>
            <w:tcW w:w="0" w:type="auto"/>
            <w:hideMark/>
          </w:tcPr>
          <w:p w14:paraId="52B584D6" w14:textId="77777777" w:rsidR="00895DFC" w:rsidRPr="001726BB" w:rsidRDefault="00895DFC" w:rsidP="00895DFC">
            <w:pPr>
              <w:rPr>
                <w:b/>
                <w:bCs/>
              </w:rPr>
            </w:pPr>
            <w:r w:rsidRPr="001726BB">
              <w:rPr>
                <w:b/>
                <w:bCs/>
              </w:rPr>
              <w:t>Which citizen problems the agency addresses</w:t>
            </w:r>
            <w:r w:rsidR="00A3375A" w:rsidRPr="001726BB">
              <w:rPr>
                <w:b/>
                <w:bCs/>
              </w:rPr>
              <w:t>:</w:t>
            </w:r>
          </w:p>
          <w:p w14:paraId="07C73564" w14:textId="3DF51FDE" w:rsidR="00A3375A" w:rsidRPr="00895DFC" w:rsidRDefault="00A3375A" w:rsidP="00895DFC">
            <w:r w:rsidRPr="001726BB">
              <w:rPr>
                <w:color w:val="4472C4" w:themeColor="accent1"/>
              </w:rPr>
              <w:t xml:space="preserve">No direct citizen involvement. </w:t>
            </w:r>
            <w:r w:rsidR="00F46E52" w:rsidRPr="001726BB">
              <w:rPr>
                <w:color w:val="4472C4" w:themeColor="accent1"/>
              </w:rPr>
              <w:t xml:space="preserve">Oversees, trains and monitors county policy and procedures according to General Statute. </w:t>
            </w:r>
          </w:p>
        </w:tc>
      </w:tr>
      <w:tr w:rsidR="00895DFC" w:rsidRPr="00895DFC" w14:paraId="5EDA46E6" w14:textId="77777777" w:rsidTr="00895DFC">
        <w:trPr>
          <w:tblCellSpacing w:w="15" w:type="dxa"/>
        </w:trPr>
        <w:tc>
          <w:tcPr>
            <w:tcW w:w="0" w:type="auto"/>
            <w:hideMark/>
          </w:tcPr>
          <w:p w14:paraId="4B13C59C" w14:textId="79DE84CF" w:rsidR="00895DFC" w:rsidRPr="001726BB" w:rsidRDefault="00895DFC" w:rsidP="00895DFC">
            <w:pPr>
              <w:rPr>
                <w:b/>
                <w:bCs/>
              </w:rPr>
            </w:pPr>
            <w:r w:rsidRPr="001726BB">
              <w:rPr>
                <w:b/>
                <w:bCs/>
              </w:rPr>
              <w:t>What they will do</w:t>
            </w:r>
            <w:r w:rsidR="00C24778" w:rsidRPr="001726BB">
              <w:rPr>
                <w:b/>
                <w:bCs/>
              </w:rPr>
              <w:t>:</w:t>
            </w:r>
          </w:p>
          <w:p w14:paraId="040DD7CB" w14:textId="77777777" w:rsidR="006B4972" w:rsidRPr="006B4972" w:rsidRDefault="006B4972" w:rsidP="006B4972">
            <w:pPr>
              <w:pStyle w:val="ListParagraph"/>
              <w:numPr>
                <w:ilvl w:val="0"/>
                <w:numId w:val="3"/>
              </w:numPr>
              <w:rPr>
                <w:color w:val="4472C4" w:themeColor="accent1"/>
              </w:rPr>
            </w:pPr>
            <w:r w:rsidRPr="006B4972">
              <w:rPr>
                <w:color w:val="4472C4" w:themeColor="accent1"/>
              </w:rPr>
              <w:t>Conduct scheduled on-site visits to County DSSs</w:t>
            </w:r>
          </w:p>
          <w:p w14:paraId="221C4337" w14:textId="77777777" w:rsidR="006B4972" w:rsidRPr="006B4972" w:rsidRDefault="006B4972" w:rsidP="006B4972">
            <w:pPr>
              <w:pStyle w:val="ListParagraph"/>
              <w:numPr>
                <w:ilvl w:val="0"/>
                <w:numId w:val="3"/>
              </w:numPr>
              <w:rPr>
                <w:color w:val="4472C4" w:themeColor="accent1"/>
              </w:rPr>
            </w:pPr>
            <w:r w:rsidRPr="006B4972">
              <w:rPr>
                <w:color w:val="4472C4" w:themeColor="accent1"/>
              </w:rPr>
              <w:t>Monitor Law and Policy for Adult Services Programs according to NC General Statute</w:t>
            </w:r>
          </w:p>
          <w:p w14:paraId="314B5EDC" w14:textId="77777777" w:rsidR="006B4972" w:rsidRPr="006B4972" w:rsidRDefault="006B4972" w:rsidP="006B4972">
            <w:pPr>
              <w:pStyle w:val="ListParagraph"/>
              <w:numPr>
                <w:ilvl w:val="0"/>
                <w:numId w:val="3"/>
              </w:numPr>
              <w:rPr>
                <w:color w:val="4472C4" w:themeColor="accent1"/>
              </w:rPr>
            </w:pPr>
            <w:r w:rsidRPr="006B4972">
              <w:rPr>
                <w:color w:val="4472C4" w:themeColor="accent1"/>
              </w:rPr>
              <w:t>Provide Training for Adult Services Programs</w:t>
            </w:r>
          </w:p>
          <w:p w14:paraId="652F3392" w14:textId="3382FB82" w:rsidR="00895DFC" w:rsidRPr="00895DFC" w:rsidRDefault="006B4972" w:rsidP="006B4972">
            <w:pPr>
              <w:pStyle w:val="ListParagraph"/>
              <w:numPr>
                <w:ilvl w:val="0"/>
                <w:numId w:val="3"/>
              </w:numPr>
            </w:pPr>
            <w:r w:rsidRPr="006B4972">
              <w:rPr>
                <w:color w:val="4472C4" w:themeColor="accent1"/>
              </w:rPr>
              <w:t>Provide Oversight for County DSSs in Adult Services Program Areas</w:t>
            </w:r>
          </w:p>
        </w:tc>
      </w:tr>
      <w:tr w:rsidR="00895DFC" w:rsidRPr="00895DFC" w14:paraId="5A221A35" w14:textId="77777777" w:rsidTr="00895DFC">
        <w:trPr>
          <w:tblCellSpacing w:w="15" w:type="dxa"/>
        </w:trPr>
        <w:tc>
          <w:tcPr>
            <w:tcW w:w="0" w:type="auto"/>
            <w:hideMark/>
          </w:tcPr>
          <w:p w14:paraId="7B15B858" w14:textId="77777777" w:rsidR="006B4972" w:rsidRPr="006B4972" w:rsidRDefault="00895DFC" w:rsidP="006B4972">
            <w:pPr>
              <w:rPr>
                <w:color w:val="4472C4" w:themeColor="accent1"/>
              </w:rPr>
            </w:pPr>
            <w:r w:rsidRPr="001726BB">
              <w:rPr>
                <w:b/>
                <w:bCs/>
              </w:rPr>
              <w:t>What they won’t do</w:t>
            </w:r>
            <w:r w:rsidR="00F46E52" w:rsidRPr="001726BB">
              <w:rPr>
                <w:b/>
                <w:bCs/>
              </w:rPr>
              <w:t>:</w:t>
            </w:r>
          </w:p>
          <w:p w14:paraId="65410610" w14:textId="77777777" w:rsidR="0015753F" w:rsidRPr="0015753F" w:rsidRDefault="001726BB" w:rsidP="0015753F">
            <w:pPr>
              <w:numPr>
                <w:ilvl w:val="0"/>
                <w:numId w:val="2"/>
              </w:numPr>
              <w:rPr>
                <w:color w:val="4472C4" w:themeColor="accent1"/>
              </w:rPr>
            </w:pPr>
            <w:r w:rsidRPr="0015753F">
              <w:rPr>
                <w:color w:val="4472C4" w:themeColor="accent1"/>
              </w:rPr>
              <w:t xml:space="preserve"> </w:t>
            </w:r>
            <w:r w:rsidR="0015753F" w:rsidRPr="0015753F">
              <w:rPr>
                <w:color w:val="4472C4" w:themeColor="accent1"/>
              </w:rPr>
              <w:t>Education on Adult Protective Services, Guardianship and other Adult Services Program Areas</w:t>
            </w:r>
          </w:p>
          <w:p w14:paraId="0A9283D5" w14:textId="77777777" w:rsidR="0015753F" w:rsidRPr="0015753F" w:rsidRDefault="0015753F" w:rsidP="0015753F">
            <w:pPr>
              <w:numPr>
                <w:ilvl w:val="0"/>
                <w:numId w:val="2"/>
              </w:numPr>
              <w:rPr>
                <w:color w:val="4472C4" w:themeColor="accent1"/>
              </w:rPr>
            </w:pPr>
            <w:r w:rsidRPr="0015753F">
              <w:rPr>
                <w:color w:val="4472C4" w:themeColor="accent1"/>
              </w:rPr>
              <w:t>Respond to Concerns from Citizens</w:t>
            </w:r>
          </w:p>
          <w:p w14:paraId="76DEBDBE" w14:textId="31D84B0F" w:rsidR="00F46E52" w:rsidRPr="001726BB" w:rsidRDefault="00F46E52" w:rsidP="0015753F">
            <w:pPr>
              <w:ind w:left="720"/>
            </w:pPr>
          </w:p>
        </w:tc>
      </w:tr>
      <w:tr w:rsidR="00895DFC" w:rsidRPr="00895DFC" w14:paraId="61BDFC1C" w14:textId="77777777" w:rsidTr="00895DFC">
        <w:trPr>
          <w:tblCellSpacing w:w="15" w:type="dxa"/>
        </w:trPr>
        <w:tc>
          <w:tcPr>
            <w:tcW w:w="0" w:type="auto"/>
            <w:hideMark/>
          </w:tcPr>
          <w:p w14:paraId="74D0A34A" w14:textId="5F27E69B" w:rsidR="00895DFC" w:rsidRDefault="00895DFC" w:rsidP="00895DFC">
            <w:pPr>
              <w:rPr>
                <w:b/>
                <w:bCs/>
              </w:rPr>
            </w:pPr>
            <w:r w:rsidRPr="001726BB">
              <w:rPr>
                <w:b/>
                <w:bCs/>
              </w:rPr>
              <w:t>What information points do they need? Walk us through the process.</w:t>
            </w:r>
          </w:p>
          <w:p w14:paraId="18C69E8E" w14:textId="6D7A28EC" w:rsidR="007A006F" w:rsidRPr="00F56E74" w:rsidRDefault="007A006F" w:rsidP="00895DFC">
            <w:pPr>
              <w:rPr>
                <w:color w:val="4472C4" w:themeColor="accent1"/>
              </w:rPr>
            </w:pPr>
            <w:r w:rsidRPr="00F56E74">
              <w:rPr>
                <w:color w:val="4472C4" w:themeColor="accent1"/>
              </w:rPr>
              <w:t xml:space="preserve">Basic </w:t>
            </w:r>
            <w:r w:rsidR="00F56E74" w:rsidRPr="00F56E74">
              <w:rPr>
                <w:color w:val="4472C4" w:themeColor="accent1"/>
              </w:rPr>
              <w:t>personal</w:t>
            </w:r>
            <w:r w:rsidRPr="00F56E74">
              <w:rPr>
                <w:color w:val="4472C4" w:themeColor="accent1"/>
              </w:rPr>
              <w:t xml:space="preserve"> information for the adult. (Does not need a name, description of person and location is potentially enough information to identify someone.) </w:t>
            </w:r>
            <w:r w:rsidR="00F56E74" w:rsidRPr="00F56E74">
              <w:rPr>
                <w:color w:val="4472C4" w:themeColor="accent1"/>
              </w:rPr>
              <w:t xml:space="preserve">Location of adult, Date of Birth or Age of adult, type of abuse, Is the adult disabled? Do they currently have any services? </w:t>
            </w:r>
          </w:p>
          <w:p w14:paraId="3A0DDEA2" w14:textId="77777777" w:rsidR="007A006F" w:rsidRPr="007A006F" w:rsidRDefault="007A006F" w:rsidP="007A006F">
            <w:pPr>
              <w:rPr>
                <w:color w:val="4472C4" w:themeColor="accent1"/>
              </w:rPr>
            </w:pPr>
            <w:r w:rsidRPr="007A006F">
              <w:rPr>
                <w:color w:val="4472C4" w:themeColor="accent1"/>
              </w:rPr>
              <w:t xml:space="preserve">Abuse – Willful infliction of physical pain, injury, mental anguish, unreasonable confinement or willful deprivation by caretaker of services that are necessary to maintain mental/physical health. </w:t>
            </w:r>
          </w:p>
          <w:p w14:paraId="4122AF9D" w14:textId="77777777" w:rsidR="007A006F" w:rsidRPr="007A006F" w:rsidRDefault="007A006F" w:rsidP="007A006F">
            <w:pPr>
              <w:rPr>
                <w:color w:val="4472C4" w:themeColor="accent1"/>
              </w:rPr>
            </w:pPr>
            <w:r w:rsidRPr="007A006F">
              <w:rPr>
                <w:color w:val="4472C4" w:themeColor="accent1"/>
              </w:rPr>
              <w:t xml:space="preserve">Caretaker Neglect – Failure of the caregiver to provide services to maintain the physical and mental health of the disabled adult. </w:t>
            </w:r>
          </w:p>
          <w:p w14:paraId="6AB7EDCD" w14:textId="77777777" w:rsidR="007A006F" w:rsidRPr="007A006F" w:rsidRDefault="007A006F" w:rsidP="007A006F">
            <w:pPr>
              <w:rPr>
                <w:color w:val="4472C4" w:themeColor="accent1"/>
              </w:rPr>
            </w:pPr>
            <w:r w:rsidRPr="007A006F">
              <w:rPr>
                <w:color w:val="4472C4" w:themeColor="accent1"/>
              </w:rPr>
              <w:t xml:space="preserve">Self-Neglect – Disabled adult who lives alone or has no caregiver and is not able to provide necessary services to maintain his/her mental and physical health. </w:t>
            </w:r>
          </w:p>
          <w:p w14:paraId="69544A94" w14:textId="2D2AD486" w:rsidR="007A006F" w:rsidRPr="001726BB" w:rsidRDefault="007A006F" w:rsidP="007A006F">
            <w:pPr>
              <w:rPr>
                <w:b/>
                <w:bCs/>
              </w:rPr>
            </w:pPr>
            <w:r w:rsidRPr="007A006F">
              <w:rPr>
                <w:color w:val="4472C4" w:themeColor="accent1"/>
              </w:rPr>
              <w:lastRenderedPageBreak/>
              <w:t>Exploitation – Illegal or improper use of a disabled adult or elderly person of his/her assets for another’s profit or advantage</w:t>
            </w:r>
          </w:p>
        </w:tc>
      </w:tr>
      <w:tr w:rsidR="00895DFC" w:rsidRPr="00895DFC" w14:paraId="00FD9192" w14:textId="77777777" w:rsidTr="00895DFC">
        <w:trPr>
          <w:tblCellSpacing w:w="15" w:type="dxa"/>
        </w:trPr>
        <w:tc>
          <w:tcPr>
            <w:tcW w:w="0" w:type="auto"/>
            <w:hideMark/>
          </w:tcPr>
          <w:p w14:paraId="7503FF6D" w14:textId="77777777" w:rsidR="00895DFC" w:rsidRPr="001726BB" w:rsidRDefault="00895DFC" w:rsidP="00895DFC">
            <w:pPr>
              <w:rPr>
                <w:b/>
                <w:bCs/>
              </w:rPr>
            </w:pPr>
            <w:r w:rsidRPr="001726BB">
              <w:rPr>
                <w:b/>
                <w:bCs/>
              </w:rPr>
              <w:lastRenderedPageBreak/>
              <w:t>Who can make reports?</w:t>
            </w:r>
          </w:p>
          <w:p w14:paraId="507DB109" w14:textId="71FAA568" w:rsidR="00F46E52" w:rsidRPr="00895DFC" w:rsidRDefault="00F46E52" w:rsidP="00895DFC">
            <w:r w:rsidRPr="00F56E74">
              <w:rPr>
                <w:color w:val="4472C4" w:themeColor="accent1"/>
              </w:rPr>
              <w:t xml:space="preserve">Anyone can make an APS report to the county DSS which the adult of concerns lives in. </w:t>
            </w:r>
          </w:p>
        </w:tc>
      </w:tr>
      <w:tr w:rsidR="00895DFC" w:rsidRPr="00895DFC" w14:paraId="787AA6BF" w14:textId="77777777" w:rsidTr="00895DFC">
        <w:trPr>
          <w:tblCellSpacing w:w="15" w:type="dxa"/>
        </w:trPr>
        <w:tc>
          <w:tcPr>
            <w:tcW w:w="0" w:type="auto"/>
            <w:hideMark/>
          </w:tcPr>
          <w:p w14:paraId="1AC645B7" w14:textId="77777777" w:rsidR="00895DFC" w:rsidRPr="001726BB" w:rsidRDefault="00895DFC" w:rsidP="00895DFC">
            <w:pPr>
              <w:rPr>
                <w:b/>
                <w:bCs/>
              </w:rPr>
            </w:pPr>
            <w:r w:rsidRPr="001726BB">
              <w:rPr>
                <w:b/>
                <w:bCs/>
              </w:rPr>
              <w:t>How does this process work?</w:t>
            </w:r>
          </w:p>
          <w:p w14:paraId="5A3250D2" w14:textId="77777777" w:rsidR="00F56E74" w:rsidRPr="00F56E74" w:rsidRDefault="00F56E74" w:rsidP="00F56E74">
            <w:pPr>
              <w:pStyle w:val="ListParagraph"/>
              <w:numPr>
                <w:ilvl w:val="0"/>
                <w:numId w:val="1"/>
              </w:numPr>
              <w:spacing w:after="0"/>
              <w:rPr>
                <w:color w:val="4472C4" w:themeColor="accent1"/>
              </w:rPr>
            </w:pPr>
            <w:r w:rsidRPr="00F56E74">
              <w:rPr>
                <w:color w:val="4472C4" w:themeColor="accent1"/>
              </w:rPr>
              <w:t>Intake</w:t>
            </w:r>
          </w:p>
          <w:p w14:paraId="57537409" w14:textId="77777777" w:rsidR="00F56E74" w:rsidRPr="00F56E74" w:rsidRDefault="00F56E74" w:rsidP="00F56E74">
            <w:pPr>
              <w:pStyle w:val="ListParagraph"/>
              <w:numPr>
                <w:ilvl w:val="0"/>
                <w:numId w:val="1"/>
              </w:numPr>
              <w:spacing w:after="0"/>
              <w:rPr>
                <w:color w:val="4472C4" w:themeColor="accent1"/>
              </w:rPr>
            </w:pPr>
            <w:r w:rsidRPr="00F56E74">
              <w:rPr>
                <w:color w:val="4472C4" w:themeColor="accent1"/>
              </w:rPr>
              <w:t>Evaluation</w:t>
            </w:r>
          </w:p>
          <w:p w14:paraId="37975EC1" w14:textId="77777777" w:rsidR="00F56E74" w:rsidRPr="00F56E74" w:rsidRDefault="00F56E74" w:rsidP="00F56E74">
            <w:pPr>
              <w:pStyle w:val="ListParagraph"/>
              <w:numPr>
                <w:ilvl w:val="0"/>
                <w:numId w:val="1"/>
              </w:numPr>
              <w:spacing w:after="0"/>
              <w:rPr>
                <w:color w:val="4472C4" w:themeColor="accent1"/>
              </w:rPr>
            </w:pPr>
            <w:r w:rsidRPr="00F56E74">
              <w:rPr>
                <w:color w:val="4472C4" w:themeColor="accent1"/>
              </w:rPr>
              <w:t>Case Decision</w:t>
            </w:r>
          </w:p>
          <w:p w14:paraId="451AD1A7" w14:textId="77777777" w:rsidR="00F56E74" w:rsidRPr="00F56E74" w:rsidRDefault="00F56E74" w:rsidP="00F56E74">
            <w:pPr>
              <w:pStyle w:val="ListParagraph"/>
              <w:numPr>
                <w:ilvl w:val="0"/>
                <w:numId w:val="1"/>
              </w:numPr>
              <w:spacing w:after="0"/>
              <w:rPr>
                <w:color w:val="4472C4" w:themeColor="accent1"/>
              </w:rPr>
            </w:pPr>
            <w:r w:rsidRPr="00F56E74">
              <w:rPr>
                <w:color w:val="4472C4" w:themeColor="accent1"/>
              </w:rPr>
              <w:t>Capacity</w:t>
            </w:r>
          </w:p>
          <w:p w14:paraId="30E9CEB5" w14:textId="77777777" w:rsidR="00F56E74" w:rsidRPr="00F56E74" w:rsidRDefault="00F56E74" w:rsidP="00F56E74">
            <w:pPr>
              <w:pStyle w:val="ListParagraph"/>
              <w:numPr>
                <w:ilvl w:val="0"/>
                <w:numId w:val="1"/>
              </w:numPr>
              <w:spacing w:after="0"/>
              <w:rPr>
                <w:color w:val="4472C4" w:themeColor="accent1"/>
              </w:rPr>
            </w:pPr>
            <w:r w:rsidRPr="00F56E74">
              <w:rPr>
                <w:color w:val="4472C4" w:themeColor="accent1"/>
              </w:rPr>
              <w:t>Obtain Authorization</w:t>
            </w:r>
          </w:p>
          <w:p w14:paraId="14ABC3D5" w14:textId="77777777" w:rsidR="00F56E74" w:rsidRPr="00F56E74" w:rsidRDefault="00F56E74" w:rsidP="00F56E74">
            <w:pPr>
              <w:pStyle w:val="ListParagraph"/>
              <w:numPr>
                <w:ilvl w:val="0"/>
                <w:numId w:val="1"/>
              </w:numPr>
              <w:spacing w:after="0"/>
              <w:rPr>
                <w:color w:val="4472C4" w:themeColor="accent1"/>
              </w:rPr>
            </w:pPr>
            <w:r w:rsidRPr="00F56E74">
              <w:rPr>
                <w:color w:val="4472C4" w:themeColor="accent1"/>
              </w:rPr>
              <w:t>Planning and Mobilization</w:t>
            </w:r>
          </w:p>
          <w:p w14:paraId="1C848032" w14:textId="77777777" w:rsidR="00F56E74" w:rsidRPr="00F56E74" w:rsidRDefault="00F56E74" w:rsidP="00F56E74">
            <w:pPr>
              <w:pStyle w:val="ListParagraph"/>
              <w:numPr>
                <w:ilvl w:val="0"/>
                <w:numId w:val="1"/>
              </w:numPr>
              <w:spacing w:after="0"/>
              <w:rPr>
                <w:color w:val="4472C4" w:themeColor="accent1"/>
              </w:rPr>
            </w:pPr>
            <w:r w:rsidRPr="00F56E74">
              <w:rPr>
                <w:color w:val="4472C4" w:themeColor="accent1"/>
              </w:rPr>
              <w:t>Reassess</w:t>
            </w:r>
          </w:p>
          <w:p w14:paraId="436D2F62" w14:textId="2236D263" w:rsidR="00C24778" w:rsidRPr="00F56E74" w:rsidRDefault="00F56E74" w:rsidP="00F56E74">
            <w:pPr>
              <w:pStyle w:val="ListParagraph"/>
              <w:numPr>
                <w:ilvl w:val="0"/>
                <w:numId w:val="1"/>
              </w:numPr>
              <w:spacing w:after="0"/>
              <w:rPr>
                <w:color w:val="4472C4" w:themeColor="accent1"/>
              </w:rPr>
            </w:pPr>
            <w:r w:rsidRPr="00F56E74">
              <w:rPr>
                <w:color w:val="4472C4" w:themeColor="accent1"/>
              </w:rPr>
              <w:t>Terminate</w:t>
            </w:r>
          </w:p>
          <w:p w14:paraId="3FA00207" w14:textId="46746FC9" w:rsidR="00895DFC" w:rsidRPr="00895DFC" w:rsidRDefault="00895DFC" w:rsidP="00895DFC"/>
        </w:tc>
      </w:tr>
      <w:tr w:rsidR="00895DFC" w:rsidRPr="00895DFC" w14:paraId="61E698F6" w14:textId="77777777" w:rsidTr="00895DFC">
        <w:trPr>
          <w:tblCellSpacing w:w="15" w:type="dxa"/>
        </w:trPr>
        <w:tc>
          <w:tcPr>
            <w:tcW w:w="0" w:type="auto"/>
            <w:hideMark/>
          </w:tcPr>
          <w:p w14:paraId="145BF649" w14:textId="3D57803B" w:rsidR="00895DFC" w:rsidRDefault="00895DFC" w:rsidP="00895DFC">
            <w:pPr>
              <w:rPr>
                <w:b/>
                <w:bCs/>
              </w:rPr>
            </w:pPr>
            <w:r w:rsidRPr="001726BB">
              <w:rPr>
                <w:b/>
                <w:bCs/>
              </w:rPr>
              <w:t>If the agency does not interact with victims, then explain</w:t>
            </w:r>
          </w:p>
          <w:p w14:paraId="60DF347E" w14:textId="0CA8C9A1" w:rsidR="0015753F" w:rsidRPr="0015753F" w:rsidRDefault="0015753F" w:rsidP="00895DFC">
            <w:pPr>
              <w:rPr>
                <w:color w:val="4472C4" w:themeColor="accent1"/>
              </w:rPr>
            </w:pPr>
            <w:r w:rsidRPr="0015753F">
              <w:rPr>
                <w:color w:val="4472C4" w:themeColor="accent1"/>
              </w:rPr>
              <w:t>Education on Adult Protective Services, Guardianship and other Adult Services Program Areas</w:t>
            </w:r>
            <w:r w:rsidRPr="0015753F">
              <w:rPr>
                <w:color w:val="4472C4" w:themeColor="accent1"/>
              </w:rPr>
              <w:t xml:space="preserve"> and provide services through county DSSs</w:t>
            </w:r>
            <w:r>
              <w:rPr>
                <w:color w:val="4472C4" w:themeColor="accent1"/>
              </w:rPr>
              <w:t>.</w:t>
            </w:r>
          </w:p>
          <w:p w14:paraId="2703FC9A" w14:textId="3C967042" w:rsidR="00895DFC" w:rsidRPr="001726BB" w:rsidRDefault="00895DFC" w:rsidP="00895DFC">
            <w:pPr>
              <w:rPr>
                <w:b/>
                <w:bCs/>
              </w:rPr>
            </w:pPr>
            <w:r w:rsidRPr="001726BB">
              <w:rPr>
                <w:b/>
                <w:bCs/>
              </w:rPr>
              <w:t>Where reports should be filed re: this issue to achieve a response &amp;/or</w:t>
            </w:r>
          </w:p>
          <w:p w14:paraId="5AB07046" w14:textId="7A9BEB1D" w:rsidR="00C24778" w:rsidRPr="001726BB" w:rsidRDefault="00C24778" w:rsidP="00895DFC">
            <w:pPr>
              <w:rPr>
                <w:b/>
                <w:bCs/>
                <w:color w:val="1F3864" w:themeColor="accent1" w:themeShade="80"/>
              </w:rPr>
            </w:pPr>
            <w:r w:rsidRPr="00F56E74">
              <w:rPr>
                <w:color w:val="4472C4" w:themeColor="accent1"/>
              </w:rPr>
              <w:t xml:space="preserve">If someone wants to make a report, the Adult Services Section would provide the reporter with the county Department of Social Services information so that they could make a report. If the reporter is concerned about how their DSS is handling the report, we can connect them to their county’s Continuous Quality Improvement Specialist to assist with any concerns.  If a reporter </w:t>
            </w:r>
            <w:r w:rsidR="00F56E74" w:rsidRPr="00F56E74">
              <w:rPr>
                <w:color w:val="4472C4" w:themeColor="accent1"/>
              </w:rPr>
              <w:t>wants</w:t>
            </w:r>
            <w:r w:rsidRPr="00F56E74">
              <w:rPr>
                <w:color w:val="4472C4" w:themeColor="accent1"/>
              </w:rPr>
              <w:t xml:space="preserve"> to make a report but is uncomfortable, staff in the Adult Services sections can collect the needed information from the reporter</w:t>
            </w:r>
            <w:r w:rsidR="00F56E74">
              <w:rPr>
                <w:color w:val="4472C4" w:themeColor="accent1"/>
              </w:rPr>
              <w:t>.</w:t>
            </w:r>
          </w:p>
          <w:p w14:paraId="34D974C2" w14:textId="1D99C644" w:rsidR="00895DFC" w:rsidRDefault="00895DFC" w:rsidP="00895DFC">
            <w:pPr>
              <w:rPr>
                <w:b/>
                <w:bCs/>
              </w:rPr>
            </w:pPr>
            <w:r w:rsidRPr="001726BB">
              <w:rPr>
                <w:b/>
                <w:bCs/>
              </w:rPr>
              <w:t>How taking the time to report is so important &amp; is reflected in something reporters/victims can see? How is it making a difference?</w:t>
            </w:r>
          </w:p>
          <w:p w14:paraId="7004B722" w14:textId="211DDB9F" w:rsidR="006B4972" w:rsidRPr="006B4972" w:rsidRDefault="006B4972" w:rsidP="006B4972">
            <w:pPr>
              <w:rPr>
                <w:color w:val="4472C4" w:themeColor="accent1"/>
              </w:rPr>
            </w:pPr>
            <w:r w:rsidRPr="006B4972">
              <w:rPr>
                <w:color w:val="4472C4" w:themeColor="accent1"/>
              </w:rPr>
              <w:t xml:space="preserve">In Federal FY 2020, 10/1/2019-9/30/2020, 1,327,019 referrals were received.  41.7% of these referrals were screened out as they did not meet APS criteria, of the 775,870 reports screened in, 258,389 or 33% had a substantiated investigation. IN NC </w:t>
            </w:r>
            <w:r w:rsidRPr="006B4972">
              <w:rPr>
                <w:color w:val="4472C4" w:themeColor="accent1"/>
              </w:rPr>
              <w:t>our substantiation</w:t>
            </w:r>
            <w:r w:rsidRPr="006B4972">
              <w:rPr>
                <w:color w:val="4472C4" w:themeColor="accent1"/>
              </w:rPr>
              <w:t xml:space="preserve"> </w:t>
            </w:r>
            <w:r w:rsidRPr="006B4972">
              <w:rPr>
                <w:color w:val="4472C4" w:themeColor="accent1"/>
              </w:rPr>
              <w:t>rate averaged</w:t>
            </w:r>
            <w:r w:rsidRPr="006B4972">
              <w:rPr>
                <w:color w:val="4472C4" w:themeColor="accent1"/>
              </w:rPr>
              <w:t xml:space="preserve"> at 24% ​</w:t>
            </w:r>
          </w:p>
          <w:p w14:paraId="7FF29473" w14:textId="726FE859" w:rsidR="006B4972" w:rsidRPr="006B4972" w:rsidRDefault="006B4972" w:rsidP="006B4972">
            <w:pPr>
              <w:rPr>
                <w:color w:val="4472C4" w:themeColor="accent1"/>
              </w:rPr>
            </w:pPr>
            <w:r w:rsidRPr="006B4972">
              <w:rPr>
                <w:color w:val="4472C4" w:themeColor="accent1"/>
              </w:rPr>
              <w:t xml:space="preserve"> NC received 32,075 reports of which 59% were screened in for evaluation, showing a very similar number with 58.3% screened in nationally. </w:t>
            </w:r>
          </w:p>
          <w:p w14:paraId="48C15954" w14:textId="2F4BFC51" w:rsidR="00F56E74" w:rsidRDefault="00681FE5" w:rsidP="00895DFC">
            <w:r w:rsidRPr="00681FE5">
              <w:t> </w:t>
            </w:r>
          </w:p>
          <w:p w14:paraId="00B557A3" w14:textId="77777777" w:rsidR="00F56E74" w:rsidRDefault="00F56E74" w:rsidP="00895DFC"/>
          <w:p w14:paraId="5EFE6E9E" w14:textId="3C8CCD86" w:rsidR="00F56E74" w:rsidRPr="00895DFC" w:rsidRDefault="00F56E74" w:rsidP="00895DFC"/>
        </w:tc>
      </w:tr>
    </w:tbl>
    <w:p w14:paraId="5E4E6312" w14:textId="7A34D7BB" w:rsidR="00500C63" w:rsidRPr="00500C63" w:rsidRDefault="00500C63" w:rsidP="00500C63"/>
    <w:p w14:paraId="08D25365" w14:textId="07D5EF3C" w:rsidR="00500C63" w:rsidRPr="00500C63" w:rsidRDefault="00500C63" w:rsidP="00500C63"/>
    <w:p w14:paraId="354792BA" w14:textId="15D4AE29" w:rsidR="00500C63" w:rsidRPr="00500C63" w:rsidRDefault="00500C63" w:rsidP="00500C63"/>
    <w:p w14:paraId="1B2A1D82" w14:textId="39BACA0F" w:rsidR="00500C63" w:rsidRPr="00500C63" w:rsidRDefault="00500C63" w:rsidP="00500C63"/>
    <w:p w14:paraId="4DE68661" w14:textId="1FBE046B" w:rsidR="00500C63" w:rsidRPr="00500C63" w:rsidRDefault="00500C63" w:rsidP="00500C63"/>
    <w:p w14:paraId="57BC33CB" w14:textId="6A1BD20D" w:rsidR="00500C63" w:rsidRPr="00500C63" w:rsidRDefault="00500C63" w:rsidP="00500C63"/>
    <w:p w14:paraId="13127622" w14:textId="77777777" w:rsidR="00500C63" w:rsidRDefault="00500C63" w:rsidP="00500C63"/>
    <w:sectPr w:rsidR="00500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25664"/>
    <w:multiLevelType w:val="hybridMultilevel"/>
    <w:tmpl w:val="6FE882A0"/>
    <w:lvl w:ilvl="0" w:tplc="BA980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02E03"/>
    <w:multiLevelType w:val="hybridMultilevel"/>
    <w:tmpl w:val="F050BF4E"/>
    <w:lvl w:ilvl="0" w:tplc="AE0A4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867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8AA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E2A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427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6A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C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6C7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409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7B77B73"/>
    <w:multiLevelType w:val="hybridMultilevel"/>
    <w:tmpl w:val="6336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517942">
    <w:abstractNumId w:val="2"/>
  </w:num>
  <w:num w:numId="2" w16cid:durableId="865484395">
    <w:abstractNumId w:val="1"/>
  </w:num>
  <w:num w:numId="3" w16cid:durableId="1225868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FC"/>
    <w:rsid w:val="0015753F"/>
    <w:rsid w:val="001726BB"/>
    <w:rsid w:val="002304E6"/>
    <w:rsid w:val="00446905"/>
    <w:rsid w:val="00500C63"/>
    <w:rsid w:val="00681FE5"/>
    <w:rsid w:val="006B4972"/>
    <w:rsid w:val="006C3358"/>
    <w:rsid w:val="007A006F"/>
    <w:rsid w:val="00895DFC"/>
    <w:rsid w:val="00A3375A"/>
    <w:rsid w:val="00C24778"/>
    <w:rsid w:val="00E624A8"/>
    <w:rsid w:val="00F42FAE"/>
    <w:rsid w:val="00F46E52"/>
    <w:rsid w:val="00F5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A64EF"/>
  <w15:chartTrackingRefBased/>
  <w15:docId w15:val="{EEDBA525-E9AB-4469-811E-0444258A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9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6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2991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697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Odham, Kasie</dc:creator>
  <cp:keywords/>
  <dc:description/>
  <cp:lastModifiedBy>Odham, Kasie</cp:lastModifiedBy>
  <cp:revision>4</cp:revision>
  <dcterms:created xsi:type="dcterms:W3CDTF">2022-03-02T19:20:00Z</dcterms:created>
  <dcterms:modified xsi:type="dcterms:W3CDTF">2022-05-02T19:38:00Z</dcterms:modified>
</cp:coreProperties>
</file>