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14220" w:type="dxa"/>
        <w:tblLayout w:type="fixed"/>
        <w:tblLook w:val="04A0" w:firstRow="1" w:lastRow="0" w:firstColumn="1" w:lastColumn="0" w:noHBand="0" w:noVBand="1"/>
        <w:tblCaption w:val="Layout table"/>
      </w:tblPr>
      <w:tblGrid>
        <w:gridCol w:w="4680"/>
        <w:gridCol w:w="90"/>
        <w:gridCol w:w="5310"/>
        <w:gridCol w:w="44"/>
        <w:gridCol w:w="4096"/>
      </w:tblGrid>
      <w:tr w:rsidR="000A2A5C" w14:paraId="1D737210" w14:textId="77777777" w:rsidTr="00205C95">
        <w:trPr>
          <w:trHeight w:hRule="exact" w:val="11439"/>
        </w:trPr>
        <w:tc>
          <w:tcPr>
            <w:tcW w:w="4680" w:type="dxa"/>
          </w:tcPr>
          <w:p w14:paraId="2CB9057E" w14:textId="77777777" w:rsidR="000A2A5C" w:rsidRPr="001D4B15" w:rsidRDefault="000A2A5C" w:rsidP="00205C95">
            <w:pPr>
              <w:pStyle w:val="Heading2"/>
              <w:spacing w:before="120" w:after="120"/>
              <w:ind w:right="458"/>
              <w:rPr>
                <w:b w:val="0"/>
                <w:color w:val="2B7471" w:themeColor="accent1" w:themeShade="80"/>
                <w:sz w:val="24"/>
                <w:szCs w:val="24"/>
              </w:rPr>
            </w:pPr>
            <w:bookmarkStart w:id="0" w:name="_GoBack"/>
            <w:bookmarkEnd w:id="0"/>
            <w:r w:rsidRPr="001D4B15">
              <w:rPr>
                <w:b w:val="0"/>
                <w:color w:val="2B7471" w:themeColor="accent1" w:themeShade="80"/>
                <w:sz w:val="24"/>
                <w:szCs w:val="24"/>
              </w:rPr>
              <w:t>General Communication Tips</w:t>
            </w:r>
          </w:p>
          <w:p w14:paraId="5114747C" w14:textId="77777777" w:rsidR="000A2A5C" w:rsidRPr="00205C95" w:rsidRDefault="000A2A5C" w:rsidP="00205C95">
            <w:pPr>
              <w:widowControl w:val="0"/>
              <w:tabs>
                <w:tab w:val="left" w:pos="90"/>
              </w:tabs>
              <w:overflowPunct w:val="0"/>
              <w:autoSpaceDE w:val="0"/>
              <w:autoSpaceDN w:val="0"/>
              <w:adjustRightInd w:val="0"/>
              <w:spacing w:before="120" w:after="120"/>
              <w:ind w:right="458"/>
              <w:rPr>
                <w:rFonts w:asciiTheme="majorHAnsi" w:hAnsiTheme="majorHAnsi" w:cs="Arial"/>
                <w:b/>
                <w:sz w:val="20"/>
                <w:szCs w:val="20"/>
              </w:rPr>
            </w:pPr>
            <w:r w:rsidRPr="00205C95">
              <w:rPr>
                <w:rFonts w:asciiTheme="majorHAnsi" w:hAnsiTheme="majorHAnsi" w:cs="Arial"/>
                <w:b/>
                <w:bCs/>
                <w:sz w:val="20"/>
                <w:szCs w:val="20"/>
              </w:rPr>
              <w:t>Speak in clear sentences.</w:t>
            </w:r>
            <w:r w:rsidRPr="00205C95">
              <w:rPr>
                <w:rFonts w:asciiTheme="majorHAnsi" w:hAnsiTheme="majorHAnsi" w:cs="Arial"/>
                <w:b/>
                <w:sz w:val="20"/>
                <w:szCs w:val="20"/>
              </w:rPr>
              <w:t xml:space="preserve"> </w:t>
            </w:r>
            <w:r w:rsidRPr="00205C95">
              <w:rPr>
                <w:rFonts w:asciiTheme="majorHAnsi" w:hAnsiTheme="majorHAnsi" w:cs="Arial"/>
                <w:sz w:val="20"/>
                <w:szCs w:val="20"/>
              </w:rPr>
              <w:t>Use simple words and concepts. Break a complex idea down into smaller parts</w:t>
            </w:r>
            <w:r w:rsidRPr="00205C95">
              <w:rPr>
                <w:rFonts w:asciiTheme="majorHAnsi" w:hAnsiTheme="majorHAnsi" w:cs="Arial"/>
                <w:b/>
                <w:sz w:val="20"/>
                <w:szCs w:val="20"/>
              </w:rPr>
              <w:t xml:space="preserve">. </w:t>
            </w:r>
          </w:p>
          <w:p w14:paraId="18C59E5A" w14:textId="77777777" w:rsidR="000A2A5C" w:rsidRPr="00205C95" w:rsidRDefault="000A2A5C" w:rsidP="00205C95">
            <w:pPr>
              <w:widowControl w:val="0"/>
              <w:tabs>
                <w:tab w:val="left" w:pos="90"/>
              </w:tabs>
              <w:overflowPunct w:val="0"/>
              <w:autoSpaceDE w:val="0"/>
              <w:autoSpaceDN w:val="0"/>
              <w:adjustRightInd w:val="0"/>
              <w:spacing w:before="120" w:after="120"/>
              <w:ind w:right="458"/>
              <w:rPr>
                <w:rFonts w:asciiTheme="majorHAnsi" w:hAnsiTheme="majorHAnsi" w:cs="Arial"/>
                <w:sz w:val="20"/>
                <w:szCs w:val="20"/>
              </w:rPr>
            </w:pPr>
            <w:r w:rsidRPr="00205C95">
              <w:rPr>
                <w:rFonts w:asciiTheme="majorHAnsi" w:hAnsiTheme="majorHAnsi" w:cs="Arial"/>
                <w:b/>
                <w:bCs/>
                <w:sz w:val="20"/>
                <w:szCs w:val="20"/>
              </w:rPr>
              <w:t>Use precise language with simple words</w:t>
            </w:r>
            <w:r w:rsidRPr="00205C95">
              <w:rPr>
                <w:rFonts w:asciiTheme="majorHAnsi" w:hAnsiTheme="majorHAnsi" w:cs="Arial"/>
                <w:b/>
                <w:sz w:val="20"/>
                <w:szCs w:val="20"/>
              </w:rPr>
              <w:t xml:space="preserve">. </w:t>
            </w:r>
            <w:r w:rsidRPr="00205C95">
              <w:rPr>
                <w:rFonts w:asciiTheme="majorHAnsi" w:hAnsiTheme="majorHAnsi" w:cs="Arial"/>
                <w:sz w:val="20"/>
                <w:szCs w:val="20"/>
              </w:rPr>
              <w:t>When possible, use words that relate to things you both can see. Avoid directional terms—</w:t>
            </w:r>
            <w:r w:rsidRPr="00205C95">
              <w:rPr>
                <w:rFonts w:asciiTheme="majorHAnsi" w:hAnsiTheme="majorHAnsi" w:cs="Arial"/>
                <w:i/>
                <w:sz w:val="20"/>
                <w:szCs w:val="20"/>
              </w:rPr>
              <w:t>right/left</w:t>
            </w:r>
            <w:r w:rsidR="00205C95">
              <w:rPr>
                <w:rFonts w:asciiTheme="majorHAnsi" w:hAnsiTheme="majorHAnsi" w:cs="Arial"/>
                <w:i/>
                <w:sz w:val="20"/>
                <w:szCs w:val="20"/>
              </w:rPr>
              <w:t xml:space="preserve">.  </w:t>
            </w:r>
            <w:r w:rsidRPr="00205C95">
              <w:rPr>
                <w:rFonts w:asciiTheme="majorHAnsi" w:hAnsiTheme="majorHAnsi" w:cs="Arial"/>
                <w:sz w:val="20"/>
                <w:szCs w:val="20"/>
              </w:rPr>
              <w:t xml:space="preserve">Ask </w:t>
            </w:r>
            <w:r w:rsidRPr="00205C95">
              <w:rPr>
                <w:rFonts w:asciiTheme="majorHAnsi" w:hAnsiTheme="majorHAnsi" w:cs="Arial"/>
                <w:i/>
                <w:iCs/>
                <w:sz w:val="20"/>
                <w:szCs w:val="20"/>
              </w:rPr>
              <w:t>who, what,</w:t>
            </w:r>
            <w:r w:rsidRPr="00205C95">
              <w:rPr>
                <w:rFonts w:asciiTheme="majorHAnsi" w:hAnsiTheme="majorHAnsi" w:cs="Arial"/>
                <w:sz w:val="20"/>
                <w:szCs w:val="20"/>
              </w:rPr>
              <w:t xml:space="preserve"> or </w:t>
            </w:r>
            <w:r w:rsidRPr="00205C95">
              <w:rPr>
                <w:rFonts w:asciiTheme="majorHAnsi" w:hAnsiTheme="majorHAnsi" w:cs="Arial"/>
                <w:i/>
                <w:iCs/>
                <w:sz w:val="20"/>
                <w:szCs w:val="20"/>
              </w:rPr>
              <w:t xml:space="preserve">where </w:t>
            </w:r>
            <w:r w:rsidRPr="00205C95">
              <w:rPr>
                <w:rFonts w:asciiTheme="majorHAnsi" w:hAnsiTheme="majorHAnsi" w:cs="Arial"/>
                <w:sz w:val="20"/>
                <w:szCs w:val="20"/>
              </w:rPr>
              <w:t xml:space="preserve">questions. </w:t>
            </w:r>
            <w:r w:rsidRPr="00205C95">
              <w:rPr>
                <w:rFonts w:asciiTheme="majorHAnsi" w:hAnsiTheme="majorHAnsi" w:cs="Arial"/>
                <w:i/>
                <w:iCs/>
                <w:sz w:val="20"/>
                <w:szCs w:val="20"/>
              </w:rPr>
              <w:t xml:space="preserve">When </w:t>
            </w:r>
            <w:r w:rsidRPr="00205C95">
              <w:rPr>
                <w:rFonts w:asciiTheme="majorHAnsi" w:hAnsiTheme="majorHAnsi" w:cs="Arial"/>
                <w:sz w:val="20"/>
                <w:szCs w:val="20"/>
              </w:rPr>
              <w:t xml:space="preserve">and </w:t>
            </w:r>
            <w:r w:rsidRPr="00205C95">
              <w:rPr>
                <w:rFonts w:asciiTheme="majorHAnsi" w:hAnsiTheme="majorHAnsi" w:cs="Arial"/>
                <w:i/>
                <w:iCs/>
                <w:sz w:val="20"/>
                <w:szCs w:val="20"/>
              </w:rPr>
              <w:t xml:space="preserve">how </w:t>
            </w:r>
            <w:r w:rsidRPr="00205C95">
              <w:rPr>
                <w:rFonts w:asciiTheme="majorHAnsi" w:hAnsiTheme="majorHAnsi" w:cs="Arial"/>
                <w:sz w:val="20"/>
                <w:szCs w:val="20"/>
              </w:rPr>
              <w:t xml:space="preserve">questions may be difficult to answer. </w:t>
            </w:r>
          </w:p>
          <w:p w14:paraId="7058AC59" w14:textId="77777777" w:rsidR="000A2A5C" w:rsidRPr="00205C95" w:rsidRDefault="000A2A5C" w:rsidP="00205C95">
            <w:pPr>
              <w:widowControl w:val="0"/>
              <w:tabs>
                <w:tab w:val="left" w:pos="90"/>
              </w:tabs>
              <w:overflowPunct w:val="0"/>
              <w:autoSpaceDE w:val="0"/>
              <w:autoSpaceDN w:val="0"/>
              <w:adjustRightInd w:val="0"/>
              <w:spacing w:before="120" w:after="120"/>
              <w:ind w:right="458"/>
              <w:rPr>
                <w:rFonts w:asciiTheme="majorHAnsi" w:hAnsiTheme="majorHAnsi" w:cs="Arial"/>
                <w:sz w:val="20"/>
                <w:szCs w:val="20"/>
              </w:rPr>
            </w:pPr>
            <w:r w:rsidRPr="00205C95">
              <w:rPr>
                <w:rFonts w:asciiTheme="majorHAnsi" w:hAnsiTheme="majorHAnsi" w:cs="Arial"/>
                <w:b/>
                <w:bCs/>
                <w:sz w:val="20"/>
                <w:szCs w:val="20"/>
              </w:rPr>
              <w:t>Speak directly; make eye contact</w:t>
            </w:r>
            <w:r w:rsidRPr="00205C95">
              <w:rPr>
                <w:rFonts w:asciiTheme="majorHAnsi" w:hAnsiTheme="majorHAnsi" w:cs="Arial"/>
                <w:b/>
                <w:sz w:val="20"/>
                <w:szCs w:val="20"/>
              </w:rPr>
              <w:t xml:space="preserve"> </w:t>
            </w:r>
            <w:r w:rsidRPr="00205C95">
              <w:rPr>
                <w:rFonts w:asciiTheme="majorHAnsi" w:hAnsiTheme="majorHAnsi" w:cs="Arial"/>
                <w:sz w:val="20"/>
                <w:szCs w:val="20"/>
              </w:rPr>
              <w:t>if possible before speaking. Say the person’s name often.</w:t>
            </w:r>
          </w:p>
          <w:p w14:paraId="14D8C161" w14:textId="77777777" w:rsidR="000A2A5C" w:rsidRPr="00205C95" w:rsidRDefault="000A2A5C" w:rsidP="00205C95">
            <w:pPr>
              <w:widowControl w:val="0"/>
              <w:tabs>
                <w:tab w:val="left" w:pos="90"/>
              </w:tabs>
              <w:overflowPunct w:val="0"/>
              <w:autoSpaceDE w:val="0"/>
              <w:autoSpaceDN w:val="0"/>
              <w:adjustRightInd w:val="0"/>
              <w:spacing w:before="120" w:after="120"/>
              <w:ind w:right="458"/>
              <w:rPr>
                <w:rFonts w:asciiTheme="majorHAnsi" w:hAnsiTheme="majorHAnsi" w:cs="Arial"/>
                <w:sz w:val="20"/>
                <w:szCs w:val="20"/>
              </w:rPr>
            </w:pPr>
            <w:r w:rsidRPr="00205C95">
              <w:rPr>
                <w:rFonts w:asciiTheme="majorHAnsi" w:hAnsiTheme="majorHAnsi" w:cs="Arial"/>
                <w:b/>
                <w:bCs/>
                <w:sz w:val="20"/>
                <w:szCs w:val="20"/>
              </w:rPr>
              <w:t>Don’t use “baby–talk” or talk down to the person</w:t>
            </w:r>
            <w:r w:rsidRPr="00205C95">
              <w:rPr>
                <w:rFonts w:asciiTheme="majorHAnsi" w:hAnsiTheme="majorHAnsi" w:cs="Arial"/>
                <w:b/>
                <w:sz w:val="20"/>
                <w:szCs w:val="20"/>
              </w:rPr>
              <w:t xml:space="preserve">. </w:t>
            </w:r>
            <w:r w:rsidRPr="00205C95">
              <w:rPr>
                <w:rFonts w:asciiTheme="majorHAnsi" w:hAnsiTheme="majorHAnsi" w:cs="Arial"/>
                <w:sz w:val="20"/>
                <w:szCs w:val="20"/>
              </w:rPr>
              <w:t>Remember that adults—unless you are informed otherwise—can make their own decisions. Be aware of your voice tone and inflection.</w:t>
            </w:r>
          </w:p>
          <w:p w14:paraId="5A7F6135" w14:textId="77777777" w:rsidR="000A2A5C" w:rsidRPr="00205C95" w:rsidRDefault="000A2A5C" w:rsidP="00205C95">
            <w:pPr>
              <w:widowControl w:val="0"/>
              <w:tabs>
                <w:tab w:val="left" w:pos="90"/>
              </w:tabs>
              <w:overflowPunct w:val="0"/>
              <w:autoSpaceDE w:val="0"/>
              <w:autoSpaceDN w:val="0"/>
              <w:adjustRightInd w:val="0"/>
              <w:spacing w:before="120" w:after="120"/>
              <w:ind w:right="458"/>
              <w:rPr>
                <w:rFonts w:asciiTheme="majorHAnsi" w:hAnsiTheme="majorHAnsi" w:cs="Arial"/>
                <w:sz w:val="20"/>
                <w:szCs w:val="20"/>
              </w:rPr>
            </w:pPr>
            <w:r w:rsidRPr="00205C95">
              <w:rPr>
                <w:rFonts w:asciiTheme="majorHAnsi" w:hAnsiTheme="majorHAnsi" w:cs="Arial"/>
                <w:b/>
                <w:bCs/>
                <w:sz w:val="20"/>
                <w:szCs w:val="20"/>
              </w:rPr>
              <w:t xml:space="preserve">Individuals may be eager to please </w:t>
            </w:r>
            <w:r w:rsidRPr="00205C95">
              <w:rPr>
                <w:rFonts w:asciiTheme="majorHAnsi" w:hAnsiTheme="majorHAnsi" w:cs="Arial"/>
                <w:b/>
                <w:sz w:val="20"/>
                <w:szCs w:val="20"/>
              </w:rPr>
              <w:t xml:space="preserve">and tell you what they think you </w:t>
            </w:r>
            <w:r w:rsidRPr="00205C95">
              <w:rPr>
                <w:rFonts w:asciiTheme="majorHAnsi" w:hAnsiTheme="majorHAnsi" w:cs="Arial"/>
                <w:b/>
                <w:i/>
                <w:iCs/>
                <w:sz w:val="20"/>
                <w:szCs w:val="20"/>
              </w:rPr>
              <w:t>want</w:t>
            </w:r>
            <w:r w:rsidRPr="00205C95">
              <w:rPr>
                <w:rFonts w:asciiTheme="majorHAnsi" w:hAnsiTheme="majorHAnsi" w:cs="Arial"/>
                <w:b/>
                <w:sz w:val="20"/>
                <w:szCs w:val="20"/>
              </w:rPr>
              <w:t xml:space="preserve"> to hear. </w:t>
            </w:r>
            <w:r w:rsidRPr="00205C95">
              <w:rPr>
                <w:rFonts w:asciiTheme="majorHAnsi" w:hAnsiTheme="majorHAnsi" w:cs="Arial"/>
                <w:sz w:val="20"/>
                <w:szCs w:val="20"/>
              </w:rPr>
              <w:t xml:space="preserve">Be prepared to use a variety of questions: yes/no, either/or </w:t>
            </w:r>
            <w:proofErr w:type="spellStart"/>
            <w:r w:rsidRPr="00205C95">
              <w:rPr>
                <w:rFonts w:asciiTheme="majorHAnsi" w:hAnsiTheme="majorHAnsi" w:cs="Arial"/>
                <w:sz w:val="20"/>
                <w:szCs w:val="20"/>
              </w:rPr>
              <w:t>and</w:t>
            </w:r>
            <w:proofErr w:type="spellEnd"/>
            <w:r w:rsidRPr="00205C95">
              <w:rPr>
                <w:rFonts w:asciiTheme="majorHAnsi" w:hAnsiTheme="majorHAnsi" w:cs="Arial"/>
                <w:sz w:val="20"/>
                <w:szCs w:val="20"/>
              </w:rPr>
              <w:t xml:space="preserve"> open-ended questions. </w:t>
            </w:r>
          </w:p>
          <w:p w14:paraId="63C10638" w14:textId="77777777" w:rsidR="000A2A5C" w:rsidRPr="00205C95" w:rsidRDefault="000A2A5C" w:rsidP="00205C95">
            <w:pPr>
              <w:widowControl w:val="0"/>
              <w:tabs>
                <w:tab w:val="left" w:pos="90"/>
              </w:tabs>
              <w:overflowPunct w:val="0"/>
              <w:autoSpaceDE w:val="0"/>
              <w:autoSpaceDN w:val="0"/>
              <w:adjustRightInd w:val="0"/>
              <w:spacing w:before="120" w:after="120"/>
              <w:ind w:right="458"/>
              <w:rPr>
                <w:rFonts w:asciiTheme="majorHAnsi" w:hAnsiTheme="majorHAnsi" w:cs="Arial"/>
                <w:sz w:val="20"/>
                <w:szCs w:val="20"/>
              </w:rPr>
            </w:pPr>
            <w:r w:rsidRPr="00205C95">
              <w:rPr>
                <w:rFonts w:asciiTheme="majorHAnsi" w:hAnsiTheme="majorHAnsi" w:cs="Arial"/>
                <w:b/>
                <w:bCs/>
                <w:sz w:val="20"/>
                <w:szCs w:val="20"/>
              </w:rPr>
              <w:t>Be patient; allow the person to take time as needed</w:t>
            </w:r>
            <w:r w:rsidRPr="00205C95">
              <w:rPr>
                <w:rFonts w:asciiTheme="majorHAnsi" w:hAnsiTheme="majorHAnsi" w:cs="Arial"/>
                <w:b/>
                <w:sz w:val="20"/>
                <w:szCs w:val="20"/>
              </w:rPr>
              <w:t xml:space="preserve">. </w:t>
            </w:r>
            <w:r w:rsidRPr="00205C95">
              <w:rPr>
                <w:rFonts w:asciiTheme="majorHAnsi" w:hAnsiTheme="majorHAnsi" w:cs="Arial"/>
                <w:sz w:val="20"/>
                <w:szCs w:val="20"/>
              </w:rPr>
              <w:t>It can be difficult for individuals to make quick decisions. Be encouraging, rather than correcting; don’t speak for the person.</w:t>
            </w:r>
          </w:p>
          <w:p w14:paraId="7F18759F" w14:textId="77777777" w:rsidR="000A2A5C" w:rsidRPr="00205C95" w:rsidRDefault="000A2A5C" w:rsidP="00205C95">
            <w:pPr>
              <w:widowControl w:val="0"/>
              <w:tabs>
                <w:tab w:val="left" w:pos="90"/>
              </w:tabs>
              <w:overflowPunct w:val="0"/>
              <w:autoSpaceDE w:val="0"/>
              <w:autoSpaceDN w:val="0"/>
              <w:adjustRightInd w:val="0"/>
              <w:spacing w:before="120" w:after="120"/>
              <w:ind w:right="458"/>
              <w:rPr>
                <w:rFonts w:asciiTheme="majorHAnsi" w:hAnsiTheme="majorHAnsi" w:cs="Arial"/>
                <w:sz w:val="20"/>
                <w:szCs w:val="20"/>
              </w:rPr>
            </w:pPr>
            <w:r w:rsidRPr="00205C95">
              <w:rPr>
                <w:rFonts w:asciiTheme="majorHAnsi" w:hAnsiTheme="majorHAnsi" w:cs="Arial"/>
                <w:b/>
                <w:bCs/>
                <w:sz w:val="20"/>
                <w:szCs w:val="20"/>
              </w:rPr>
              <w:t xml:space="preserve">Signs with visual cues </w:t>
            </w:r>
            <w:r w:rsidRPr="00205C95">
              <w:rPr>
                <w:rFonts w:asciiTheme="majorHAnsi" w:hAnsiTheme="majorHAnsi" w:cs="Arial"/>
                <w:bCs/>
                <w:sz w:val="20"/>
                <w:szCs w:val="20"/>
              </w:rPr>
              <w:t>can help</w:t>
            </w:r>
            <w:r w:rsidRPr="00205C95">
              <w:rPr>
                <w:rFonts w:asciiTheme="majorHAnsi" w:hAnsiTheme="majorHAnsi" w:cs="Arial"/>
                <w:sz w:val="20"/>
                <w:szCs w:val="20"/>
              </w:rPr>
              <w:t xml:space="preserve"> individuals find their way around a facility or answer questions. </w:t>
            </w:r>
          </w:p>
          <w:p w14:paraId="68654873" w14:textId="77777777" w:rsidR="00205C95" w:rsidRDefault="000A2A5C" w:rsidP="00205C95">
            <w:pPr>
              <w:widowControl w:val="0"/>
              <w:tabs>
                <w:tab w:val="left" w:pos="90"/>
              </w:tabs>
              <w:overflowPunct w:val="0"/>
              <w:autoSpaceDE w:val="0"/>
              <w:autoSpaceDN w:val="0"/>
              <w:adjustRightInd w:val="0"/>
              <w:spacing w:before="120" w:after="120"/>
              <w:ind w:right="458"/>
              <w:rPr>
                <w:rFonts w:asciiTheme="majorHAnsi" w:hAnsiTheme="majorHAnsi" w:cs="Arial"/>
                <w:b/>
                <w:sz w:val="20"/>
                <w:szCs w:val="20"/>
              </w:rPr>
            </w:pPr>
            <w:r w:rsidRPr="00205C95">
              <w:rPr>
                <w:rFonts w:asciiTheme="majorHAnsi" w:hAnsiTheme="majorHAnsi" w:cs="Arial"/>
                <w:b/>
                <w:bCs/>
                <w:sz w:val="20"/>
                <w:szCs w:val="20"/>
              </w:rPr>
              <w:t>Use hand gestures and notes</w:t>
            </w:r>
            <w:r w:rsidRPr="00205C95">
              <w:rPr>
                <w:rFonts w:asciiTheme="majorHAnsi" w:hAnsiTheme="majorHAnsi" w:cs="Arial"/>
                <w:b/>
                <w:sz w:val="20"/>
                <w:szCs w:val="20"/>
              </w:rPr>
              <w:t xml:space="preserve">, </w:t>
            </w:r>
            <w:r w:rsidRPr="00205C95">
              <w:rPr>
                <w:rFonts w:asciiTheme="majorHAnsi" w:hAnsiTheme="majorHAnsi" w:cs="Arial"/>
                <w:sz w:val="20"/>
                <w:szCs w:val="20"/>
              </w:rPr>
              <w:t>if helpful.</w:t>
            </w:r>
            <w:r w:rsidRPr="00205C95">
              <w:rPr>
                <w:rFonts w:asciiTheme="majorHAnsi" w:hAnsiTheme="majorHAnsi" w:cs="Arial"/>
                <w:b/>
                <w:sz w:val="20"/>
                <w:szCs w:val="20"/>
              </w:rPr>
              <w:t xml:space="preserve"> </w:t>
            </w:r>
          </w:p>
          <w:p w14:paraId="10994F01" w14:textId="77777777" w:rsidR="000A2A5C" w:rsidRPr="00205C95" w:rsidRDefault="000A2A5C" w:rsidP="00205C95">
            <w:pPr>
              <w:widowControl w:val="0"/>
              <w:tabs>
                <w:tab w:val="left" w:pos="90"/>
              </w:tabs>
              <w:overflowPunct w:val="0"/>
              <w:autoSpaceDE w:val="0"/>
              <w:autoSpaceDN w:val="0"/>
              <w:adjustRightInd w:val="0"/>
              <w:spacing w:before="120" w:after="120"/>
              <w:ind w:right="458"/>
              <w:rPr>
                <w:rFonts w:asciiTheme="majorHAnsi" w:hAnsiTheme="majorHAnsi" w:cs="Arial"/>
                <w:sz w:val="20"/>
                <w:szCs w:val="20"/>
              </w:rPr>
            </w:pPr>
            <w:r w:rsidRPr="00205C95">
              <w:rPr>
                <w:rFonts w:asciiTheme="majorHAnsi" w:hAnsiTheme="majorHAnsi" w:cs="Arial"/>
                <w:b/>
                <w:bCs/>
                <w:sz w:val="20"/>
                <w:szCs w:val="20"/>
              </w:rPr>
              <w:t>Don’t pretend to understand</w:t>
            </w:r>
            <w:r w:rsidRPr="00205C95">
              <w:rPr>
                <w:rFonts w:asciiTheme="majorHAnsi" w:hAnsiTheme="majorHAnsi" w:cs="Arial"/>
                <w:b/>
                <w:sz w:val="20"/>
                <w:szCs w:val="20"/>
              </w:rPr>
              <w:t xml:space="preserve"> </w:t>
            </w:r>
            <w:r w:rsidRPr="00205C95">
              <w:rPr>
                <w:rFonts w:asciiTheme="majorHAnsi" w:hAnsiTheme="majorHAnsi" w:cs="Arial"/>
                <w:sz w:val="20"/>
                <w:szCs w:val="20"/>
              </w:rPr>
              <w:t>if you’re having difficulty doing so.</w:t>
            </w:r>
          </w:p>
        </w:tc>
        <w:tc>
          <w:tcPr>
            <w:tcW w:w="90" w:type="dxa"/>
          </w:tcPr>
          <w:p w14:paraId="64788A11" w14:textId="77777777" w:rsidR="000A2A5C" w:rsidRDefault="000A2A5C"/>
        </w:tc>
        <w:tc>
          <w:tcPr>
            <w:tcW w:w="5310" w:type="dxa"/>
          </w:tcPr>
          <w:p w14:paraId="7F558A8F" w14:textId="77777777" w:rsidR="000A2A5C" w:rsidRDefault="000A2A5C"/>
          <w:p w14:paraId="0FB18EBB" w14:textId="77777777" w:rsidR="00205C95" w:rsidRDefault="00205C95" w:rsidP="00205C95">
            <w:pPr>
              <w:ind w:left="186" w:right="270"/>
            </w:pPr>
          </w:p>
          <w:p w14:paraId="29BD5C4C" w14:textId="77777777" w:rsidR="000A2A5C" w:rsidRDefault="000A2A5C"/>
          <w:p w14:paraId="608AAA92" w14:textId="77777777" w:rsidR="000A2A5C" w:rsidRDefault="000A2A5C"/>
          <w:p w14:paraId="42BE9082" w14:textId="77777777" w:rsidR="000A2A5C" w:rsidRDefault="000A2A5C"/>
          <w:p w14:paraId="23BAB387" w14:textId="77777777" w:rsidR="000A2A5C" w:rsidRDefault="000A2A5C" w:rsidP="000A2A5C">
            <w:pPr>
              <w:ind w:left="312"/>
            </w:pPr>
          </w:p>
          <w:tbl>
            <w:tblPr>
              <w:tblStyle w:val="HostTable"/>
              <w:tblW w:w="5712" w:type="dxa"/>
              <w:tblLayout w:type="fixed"/>
              <w:tblLook w:val="04A0" w:firstRow="1" w:lastRow="0" w:firstColumn="1" w:lastColumn="0" w:noHBand="0" w:noVBand="1"/>
              <w:tblCaption w:val="Layout table"/>
            </w:tblPr>
            <w:tblGrid>
              <w:gridCol w:w="5712"/>
            </w:tblGrid>
            <w:tr w:rsidR="000A2A5C" w14:paraId="2EF42241" w14:textId="77777777" w:rsidTr="00205C95">
              <w:trPr>
                <w:cantSplit/>
                <w:trHeight w:hRule="exact" w:val="8523"/>
              </w:trPr>
              <w:tc>
                <w:tcPr>
                  <w:tcW w:w="5000" w:type="pct"/>
                </w:tcPr>
                <w:p w14:paraId="4C8615E3" w14:textId="77777777" w:rsidR="000A2A5C" w:rsidRPr="00F03B54" w:rsidRDefault="000A2A5C" w:rsidP="000A2A5C">
                  <w:pPr>
                    <w:ind w:left="360" w:right="636"/>
                    <w:jc w:val="center"/>
                    <w:rPr>
                      <w:b/>
                    </w:rPr>
                  </w:pPr>
                  <w:r w:rsidRPr="00F03B54">
                    <w:rPr>
                      <w:b/>
                    </w:rPr>
                    <w:t>North Carolina Coalition Against Sexual Assault</w:t>
                  </w:r>
                </w:p>
                <w:p w14:paraId="4F02891E" w14:textId="77777777" w:rsidR="000A2A5C" w:rsidRDefault="00496E70" w:rsidP="000A2A5C">
                  <w:pPr>
                    <w:ind w:left="360" w:right="636"/>
                    <w:jc w:val="center"/>
                  </w:pPr>
                  <w:hyperlink r:id="rId9" w:history="1">
                    <w:r w:rsidR="000A2A5C" w:rsidRPr="00D36924">
                      <w:rPr>
                        <w:rStyle w:val="Hyperlink"/>
                      </w:rPr>
                      <w:t>www.nccasa.org</w:t>
                    </w:r>
                  </w:hyperlink>
                </w:p>
                <w:p w14:paraId="2F533411" w14:textId="77777777" w:rsidR="000A2A5C" w:rsidRDefault="000A2A5C" w:rsidP="000A2A5C">
                  <w:pPr>
                    <w:ind w:left="360" w:right="636"/>
                    <w:jc w:val="center"/>
                  </w:pPr>
                  <w:r>
                    <w:t>919-871-1015</w:t>
                  </w:r>
                </w:p>
                <w:p w14:paraId="260146CB" w14:textId="77777777" w:rsidR="000A2A5C" w:rsidRDefault="000A2A5C" w:rsidP="000A2A5C">
                  <w:pPr>
                    <w:ind w:left="360" w:right="636"/>
                    <w:jc w:val="center"/>
                  </w:pPr>
                </w:p>
                <w:p w14:paraId="1A05B2B0" w14:textId="77777777" w:rsidR="000A2A5C" w:rsidRDefault="000A2A5C" w:rsidP="000A2A5C">
                  <w:pPr>
                    <w:ind w:left="360" w:right="636"/>
                    <w:jc w:val="center"/>
                  </w:pPr>
                </w:p>
                <w:p w14:paraId="67A4D4B7" w14:textId="77777777" w:rsidR="000A2A5C" w:rsidRDefault="000A2A5C" w:rsidP="000A2A5C">
                  <w:pPr>
                    <w:ind w:left="360" w:right="636"/>
                    <w:jc w:val="center"/>
                  </w:pPr>
                </w:p>
                <w:p w14:paraId="398154F6" w14:textId="77777777" w:rsidR="000A2A5C" w:rsidRDefault="000A2A5C" w:rsidP="000A2A5C">
                  <w:pPr>
                    <w:ind w:left="18" w:right="636"/>
                    <w:jc w:val="center"/>
                  </w:pPr>
                  <w:r>
                    <w:rPr>
                      <w:noProof/>
                      <w:lang w:eastAsia="en-US"/>
                    </w:rPr>
                    <w:drawing>
                      <wp:inline distT="0" distB="0" distL="0" distR="0" wp14:anchorId="010501DA" wp14:editId="3824A711">
                        <wp:extent cx="2680437" cy="578377"/>
                        <wp:effectExtent l="0" t="0" r="5715" b="0"/>
                        <wp:docPr id="7" name="Picture 7" descr="Carolina Institute Logo Color small.jpg (34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olina Institute Logo Color small.jpg (345×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3130" cy="596220"/>
                                </a:xfrm>
                                <a:prstGeom prst="rect">
                                  <a:avLst/>
                                </a:prstGeom>
                                <a:noFill/>
                                <a:ln>
                                  <a:noFill/>
                                </a:ln>
                              </pic:spPr>
                            </pic:pic>
                          </a:graphicData>
                        </a:graphic>
                      </wp:inline>
                    </w:drawing>
                  </w:r>
                </w:p>
                <w:p w14:paraId="31A52B19" w14:textId="77777777" w:rsidR="000A2A5C" w:rsidRPr="00F03B54" w:rsidRDefault="000A2A5C" w:rsidP="000A2A5C">
                  <w:pPr>
                    <w:ind w:left="360" w:right="636"/>
                    <w:jc w:val="center"/>
                    <w:rPr>
                      <w:b/>
                    </w:rPr>
                  </w:pPr>
                  <w:r w:rsidRPr="00F03B54">
                    <w:rPr>
                      <w:b/>
                    </w:rPr>
                    <w:t>Carolina Institute for Developmental Disabilities</w:t>
                  </w:r>
                </w:p>
                <w:p w14:paraId="28732DBC" w14:textId="77777777" w:rsidR="000A2A5C" w:rsidRPr="00205C95" w:rsidRDefault="00496E70" w:rsidP="000A2A5C">
                  <w:pPr>
                    <w:ind w:left="360" w:right="636"/>
                    <w:jc w:val="center"/>
                    <w:rPr>
                      <w:rStyle w:val="Hyperlink"/>
                      <w:color w:val="2B7471" w:themeColor="accent1" w:themeShade="80"/>
                    </w:rPr>
                  </w:pPr>
                  <w:hyperlink r:id="rId11" w:history="1">
                    <w:r w:rsidR="000A2A5C" w:rsidRPr="00205C95">
                      <w:rPr>
                        <w:rStyle w:val="Hyperlink"/>
                        <w:color w:val="2B7471" w:themeColor="accent1" w:themeShade="80"/>
                      </w:rPr>
                      <w:t>www.cidd.unc.edu</w:t>
                    </w:r>
                  </w:hyperlink>
                </w:p>
                <w:p w14:paraId="65AE3BFE" w14:textId="77777777" w:rsidR="00205C95" w:rsidRDefault="00205C95" w:rsidP="000A2A5C">
                  <w:pPr>
                    <w:ind w:left="360" w:right="636"/>
                    <w:jc w:val="center"/>
                    <w:rPr>
                      <w:rStyle w:val="Hyperlink"/>
                    </w:rPr>
                  </w:pPr>
                </w:p>
                <w:p w14:paraId="6840700A" w14:textId="77777777" w:rsidR="00205C95" w:rsidRDefault="00205C95" w:rsidP="000A2A5C">
                  <w:pPr>
                    <w:ind w:left="360" w:right="636"/>
                    <w:jc w:val="center"/>
                    <w:rPr>
                      <w:rStyle w:val="Hyperlink"/>
                    </w:rPr>
                  </w:pPr>
                </w:p>
                <w:p w14:paraId="0B1717A3" w14:textId="77777777" w:rsidR="00205C95" w:rsidRDefault="00205C95" w:rsidP="000A2A5C">
                  <w:pPr>
                    <w:ind w:left="360" w:right="636"/>
                    <w:jc w:val="center"/>
                    <w:rPr>
                      <w:rStyle w:val="Hyperlink"/>
                    </w:rPr>
                  </w:pPr>
                </w:p>
                <w:p w14:paraId="0FF28031" w14:textId="77777777" w:rsidR="00205C95" w:rsidRPr="00F83432" w:rsidRDefault="00205C95" w:rsidP="00205C95">
                  <w:pPr>
                    <w:shd w:val="clear" w:color="auto" w:fill="2B7471" w:themeFill="accent1" w:themeFillShade="80"/>
                    <w:spacing w:before="120" w:after="120"/>
                    <w:ind w:left="475" w:right="739"/>
                    <w:rPr>
                      <w:color w:val="FFFFFF" w:themeColor="background1"/>
                      <w:u w:val="single"/>
                    </w:rPr>
                  </w:pPr>
                  <w:r w:rsidRPr="00F83432">
                    <w:rPr>
                      <w:color w:val="FFFFFF" w:themeColor="background1"/>
                      <w:u w:val="single"/>
                    </w:rPr>
                    <w:t>References</w:t>
                  </w:r>
                </w:p>
                <w:p w14:paraId="652C7F36" w14:textId="77777777" w:rsidR="00205C95" w:rsidRPr="00205C95" w:rsidRDefault="00205C95" w:rsidP="00205C95">
                  <w:pPr>
                    <w:shd w:val="clear" w:color="auto" w:fill="2B7471" w:themeFill="accent1" w:themeFillShade="80"/>
                    <w:spacing w:before="120" w:after="120"/>
                    <w:ind w:left="475" w:right="739"/>
                    <w:rPr>
                      <w:color w:val="FFFFFF" w:themeColor="background1"/>
                    </w:rPr>
                  </w:pPr>
                  <w:r w:rsidRPr="00205C95">
                    <w:rPr>
                      <w:color w:val="FFFFFF" w:themeColor="background1"/>
                    </w:rPr>
                    <w:t>Centers for Disease Control and Prevention (2010). Behavioral Risk Factor Surveillance System.</w:t>
                  </w:r>
                </w:p>
                <w:p w14:paraId="77192949" w14:textId="77777777" w:rsidR="00205C95" w:rsidRDefault="00205C95" w:rsidP="00205C95">
                  <w:pPr>
                    <w:shd w:val="clear" w:color="auto" w:fill="2B7471" w:themeFill="accent1" w:themeFillShade="80"/>
                    <w:spacing w:before="120" w:after="120"/>
                    <w:ind w:left="475" w:right="739"/>
                    <w:rPr>
                      <w:color w:val="FFFFFF" w:themeColor="background1"/>
                    </w:rPr>
                  </w:pPr>
                  <w:proofErr w:type="spellStart"/>
                  <w:r w:rsidRPr="00205C95">
                    <w:rPr>
                      <w:color w:val="FFFFFF" w:themeColor="background1"/>
                    </w:rPr>
                    <w:t>Hingsburger</w:t>
                  </w:r>
                  <w:proofErr w:type="spellEnd"/>
                  <w:r w:rsidRPr="00205C95">
                    <w:rPr>
                      <w:color w:val="FFFFFF" w:themeColor="background1"/>
                    </w:rPr>
                    <w:t>, D. (2001). Sexuality and People with Developmental Disabilities. Mountville: Vida Publishing.</w:t>
                  </w:r>
                </w:p>
                <w:p w14:paraId="1B51BA3A" w14:textId="77777777" w:rsidR="00205C95" w:rsidRDefault="00205C95" w:rsidP="00205C95">
                  <w:pPr>
                    <w:shd w:val="clear" w:color="auto" w:fill="2B7471" w:themeFill="accent1" w:themeFillShade="80"/>
                    <w:spacing w:before="120" w:after="120"/>
                    <w:ind w:left="475" w:right="739"/>
                  </w:pPr>
                </w:p>
                <w:p w14:paraId="2961FB58" w14:textId="77777777" w:rsidR="000A2A5C" w:rsidRDefault="000A2A5C" w:rsidP="000A2A5C">
                  <w:pPr>
                    <w:pStyle w:val="Recipient"/>
                    <w:ind w:left="766"/>
                  </w:pPr>
                </w:p>
              </w:tc>
            </w:tr>
            <w:tr w:rsidR="000A2A5C" w14:paraId="462C7950" w14:textId="77777777" w:rsidTr="000A2A5C">
              <w:trPr>
                <w:cantSplit/>
                <w:trHeight w:hRule="exact" w:val="4320"/>
              </w:trPr>
              <w:tc>
                <w:tcPr>
                  <w:tcW w:w="5000" w:type="pct"/>
                </w:tcPr>
                <w:p w14:paraId="66D2F5CC" w14:textId="77777777" w:rsidR="000A2A5C" w:rsidRDefault="000A2A5C" w:rsidP="000A2A5C">
                  <w:pPr>
                    <w:pStyle w:val="ReturnAddress"/>
                  </w:pPr>
                </w:p>
              </w:tc>
            </w:tr>
          </w:tbl>
          <w:p w14:paraId="3336C29D" w14:textId="77777777" w:rsidR="000A2A5C" w:rsidRDefault="000A2A5C"/>
        </w:tc>
        <w:tc>
          <w:tcPr>
            <w:tcW w:w="44" w:type="dxa"/>
          </w:tcPr>
          <w:p w14:paraId="56D4BEA0" w14:textId="77777777" w:rsidR="000A2A5C" w:rsidRDefault="000A2A5C"/>
        </w:tc>
        <w:tc>
          <w:tcPr>
            <w:tcW w:w="4096" w:type="dxa"/>
          </w:tcPr>
          <w:p w14:paraId="3AA1E5CE" w14:textId="77777777" w:rsidR="00205C95" w:rsidRDefault="00205C95"/>
          <w:p w14:paraId="6FF9D5F7" w14:textId="77777777" w:rsidR="00205C95" w:rsidRDefault="00205C95"/>
          <w:p w14:paraId="5E926588" w14:textId="77777777" w:rsidR="00205C95" w:rsidRDefault="00205C95"/>
          <w:tbl>
            <w:tblPr>
              <w:tblStyle w:val="HostTable"/>
              <w:tblW w:w="5000" w:type="pct"/>
              <w:tblLayout w:type="fixed"/>
              <w:tblLook w:val="04A0" w:firstRow="1" w:lastRow="0" w:firstColumn="1" w:lastColumn="0" w:noHBand="0" w:noVBand="1"/>
              <w:tblCaption w:val="Layout table"/>
            </w:tblPr>
            <w:tblGrid>
              <w:gridCol w:w="4096"/>
            </w:tblGrid>
            <w:tr w:rsidR="000A2A5C" w14:paraId="7B89D7C7" w14:textId="77777777">
              <w:trPr>
                <w:trHeight w:hRule="exact" w:val="3312"/>
              </w:trPr>
              <w:tc>
                <w:tcPr>
                  <w:tcW w:w="5000" w:type="pct"/>
                  <w:vAlign w:val="bottom"/>
                </w:tcPr>
                <w:p w14:paraId="314DF58A" w14:textId="77777777" w:rsidR="000A2A5C" w:rsidRDefault="000A2A5C" w:rsidP="00205C95">
                  <w:pPr>
                    <w:pStyle w:val="Title"/>
                    <w:ind w:left="224"/>
                  </w:pPr>
                  <w:r w:rsidRPr="009742B0">
                    <w:rPr>
                      <w:color w:val="auto"/>
                      <w:kern w:val="0"/>
                      <w:sz w:val="36"/>
                      <w:szCs w:val="36"/>
                      <w:lang w:eastAsia="en-US"/>
                      <w14:ligatures w14:val="none"/>
                    </w:rPr>
                    <w:t>Sexual Violence and People with Intellectual/ Developmental Disabilities</w:t>
                  </w:r>
                </w:p>
                <w:p w14:paraId="16D16E86" w14:textId="77777777" w:rsidR="000A2A5C" w:rsidRPr="00205C95" w:rsidRDefault="000A2A5C" w:rsidP="00205C95">
                  <w:pPr>
                    <w:pStyle w:val="Subtitle"/>
                    <w:ind w:left="224"/>
                    <w:rPr>
                      <w:sz w:val="22"/>
                      <w:szCs w:val="22"/>
                    </w:rPr>
                  </w:pPr>
                  <w:r w:rsidRPr="00205C95">
                    <w:rPr>
                      <w:sz w:val="22"/>
                      <w:szCs w:val="22"/>
                    </w:rPr>
                    <w:t>A factsheet with information for respecting and supporting individuals with IDD</w:t>
                  </w:r>
                </w:p>
              </w:tc>
            </w:tr>
            <w:tr w:rsidR="000A2A5C" w14:paraId="0047D8E4" w14:textId="77777777">
              <w:trPr>
                <w:trHeight w:hRule="exact" w:val="288"/>
              </w:trPr>
              <w:tc>
                <w:tcPr>
                  <w:tcW w:w="5000" w:type="pct"/>
                </w:tcPr>
                <w:p w14:paraId="7227E9F9" w14:textId="77777777" w:rsidR="000A2A5C" w:rsidRDefault="000A2A5C"/>
              </w:tc>
            </w:tr>
            <w:tr w:rsidR="000A2A5C" w14:paraId="5B2D3D6C" w14:textId="77777777">
              <w:trPr>
                <w:trHeight w:hRule="exact" w:val="6624"/>
              </w:trPr>
              <w:tc>
                <w:tcPr>
                  <w:tcW w:w="5000" w:type="pct"/>
                </w:tcPr>
                <w:p w14:paraId="5F5857CD" w14:textId="77777777" w:rsidR="000A2A5C" w:rsidRDefault="000A2A5C" w:rsidP="00205C95">
                  <w:pPr>
                    <w:ind w:left="134" w:hanging="44"/>
                  </w:pPr>
                  <w:r>
                    <w:rPr>
                      <w:noProof/>
                      <w:lang w:eastAsia="en-US"/>
                    </w:rPr>
                    <w:drawing>
                      <wp:anchor distT="0" distB="0" distL="114300" distR="114300" simplePos="0" relativeHeight="251668480" behindDoc="1" locked="0" layoutInCell="1" allowOverlap="1" wp14:anchorId="712A0AB8" wp14:editId="74EA2E73">
                        <wp:simplePos x="0" y="0"/>
                        <wp:positionH relativeFrom="column">
                          <wp:posOffset>159480</wp:posOffset>
                        </wp:positionH>
                        <wp:positionV relativeFrom="paragraph">
                          <wp:posOffset>453093</wp:posOffset>
                        </wp:positionV>
                        <wp:extent cx="2441575" cy="2441575"/>
                        <wp:effectExtent l="0" t="0" r="0" b="0"/>
                        <wp:wrapTight wrapText="bothSides">
                          <wp:wrapPolygon edited="0">
                            <wp:start x="0" y="0"/>
                            <wp:lineTo x="0" y="21403"/>
                            <wp:lineTo x="21403" y="21403"/>
                            <wp:lineTo x="21403" y="0"/>
                            <wp:lineTo x="0" y="0"/>
                          </wp:wrapPolygon>
                        </wp:wrapTight>
                        <wp:docPr id="6" name="Picture 6" descr="http://www.in.gov/isdh/files/ThinkstockPhotos-47484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ov/isdh/files/ThinkstockPhotos-4748418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575" cy="2441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A2A5C" w14:paraId="44BC0659" w14:textId="77777777">
              <w:trPr>
                <w:trHeight w:hRule="exact" w:val="6624"/>
              </w:trPr>
              <w:tc>
                <w:tcPr>
                  <w:tcW w:w="5000" w:type="pct"/>
                </w:tcPr>
                <w:p w14:paraId="719A3A50" w14:textId="77777777" w:rsidR="000A2A5C" w:rsidRDefault="000A2A5C">
                  <w:pPr>
                    <w:rPr>
                      <w:noProof/>
                      <w:lang w:eastAsia="en-US"/>
                    </w:rPr>
                  </w:pPr>
                </w:p>
              </w:tc>
            </w:tr>
            <w:tr w:rsidR="000A2A5C" w14:paraId="19C28447" w14:textId="77777777">
              <w:trPr>
                <w:trHeight w:hRule="exact" w:val="6624"/>
              </w:trPr>
              <w:tc>
                <w:tcPr>
                  <w:tcW w:w="5000" w:type="pct"/>
                </w:tcPr>
                <w:p w14:paraId="7C4C64C3" w14:textId="77777777" w:rsidR="000A2A5C" w:rsidRDefault="000A2A5C">
                  <w:pPr>
                    <w:rPr>
                      <w:noProof/>
                      <w:lang w:eastAsia="en-US"/>
                    </w:rPr>
                  </w:pPr>
                </w:p>
              </w:tc>
            </w:tr>
            <w:tr w:rsidR="000A2A5C" w14:paraId="3DC2C40B" w14:textId="77777777">
              <w:trPr>
                <w:trHeight w:hRule="exact" w:val="216"/>
              </w:trPr>
              <w:tc>
                <w:tcPr>
                  <w:tcW w:w="5000" w:type="pct"/>
                </w:tcPr>
                <w:p w14:paraId="56595FF3" w14:textId="77777777" w:rsidR="000A2A5C" w:rsidRDefault="000A2A5C"/>
              </w:tc>
            </w:tr>
            <w:tr w:rsidR="000A2A5C" w14:paraId="1CDF13EA" w14:textId="77777777">
              <w:trPr>
                <w:trHeight w:hRule="exact" w:val="360"/>
              </w:trPr>
              <w:tc>
                <w:tcPr>
                  <w:tcW w:w="5000" w:type="pct"/>
                  <w:shd w:val="clear" w:color="auto" w:fill="2B7471" w:themeFill="accent1" w:themeFillShade="80"/>
                </w:tcPr>
                <w:p w14:paraId="73E7C0DF" w14:textId="77777777" w:rsidR="000A2A5C" w:rsidRDefault="000A2A5C"/>
              </w:tc>
            </w:tr>
          </w:tbl>
          <w:p w14:paraId="350BB6E0" w14:textId="77777777" w:rsidR="000A2A5C" w:rsidRDefault="000A2A5C"/>
        </w:tc>
      </w:tr>
    </w:tbl>
    <w:p w14:paraId="70EB9C9D" w14:textId="77777777" w:rsidR="00CD46B7" w:rsidRDefault="00EF6E7A" w:rsidP="00205C95">
      <w:pPr>
        <w:ind w:left="270"/>
      </w:pPr>
      <w:r>
        <w:rPr>
          <w:noProof/>
          <w:lang w:eastAsia="en-US"/>
        </w:rPr>
        <mc:AlternateContent>
          <mc:Choice Requires="wpg">
            <w:drawing>
              <wp:anchor distT="0" distB="0" distL="114300" distR="114300" simplePos="0" relativeHeight="251651072" behindDoc="1" locked="0" layoutInCell="1" allowOverlap="1" wp14:anchorId="5704EA7C" wp14:editId="72A488DC">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11968C0"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y="page"/>
              </v:group>
            </w:pict>
          </mc:Fallback>
        </mc:AlternateContent>
      </w:r>
    </w:p>
    <w:tbl>
      <w:tblPr>
        <w:tblStyle w:val="HostTable"/>
        <w:tblW w:w="15535" w:type="dxa"/>
        <w:tblLook w:val="04A0" w:firstRow="1" w:lastRow="0" w:firstColumn="1" w:lastColumn="0" w:noHBand="0" w:noVBand="1"/>
        <w:tblCaption w:val="Layout table"/>
      </w:tblPr>
      <w:tblGrid>
        <w:gridCol w:w="5388"/>
        <w:gridCol w:w="5207"/>
        <w:gridCol w:w="4940"/>
      </w:tblGrid>
      <w:tr w:rsidR="00D0059A" w14:paraId="4347FF61" w14:textId="77777777" w:rsidTr="003C1328">
        <w:trPr>
          <w:trHeight w:hRule="exact" w:val="10665"/>
        </w:trPr>
        <w:tc>
          <w:tcPr>
            <w:tcW w:w="5388" w:type="dxa"/>
          </w:tcPr>
          <w:tbl>
            <w:tblPr>
              <w:tblStyle w:val="HostTable"/>
              <w:tblW w:w="5234" w:type="dxa"/>
              <w:tblLook w:val="04A0" w:firstRow="1" w:lastRow="0" w:firstColumn="1" w:lastColumn="0" w:noHBand="0" w:noVBand="1"/>
              <w:tblCaption w:val="Layout table"/>
            </w:tblPr>
            <w:tblGrid>
              <w:gridCol w:w="4917"/>
              <w:gridCol w:w="317"/>
            </w:tblGrid>
            <w:tr w:rsidR="00D0059A" w14:paraId="12188095" w14:textId="77777777" w:rsidTr="00205C95">
              <w:trPr>
                <w:gridAfter w:val="1"/>
                <w:wAfter w:w="303" w:type="pct"/>
                <w:trHeight w:hRule="exact" w:val="2061"/>
              </w:trPr>
              <w:tc>
                <w:tcPr>
                  <w:tcW w:w="4697" w:type="pct"/>
                  <w:shd w:val="clear" w:color="auto" w:fill="2B7471" w:themeFill="accent1" w:themeFillShade="80"/>
                </w:tcPr>
                <w:p w14:paraId="19E413D8" w14:textId="77777777" w:rsidR="00D0059A" w:rsidRPr="00D0059A" w:rsidRDefault="00D0059A" w:rsidP="00205C95">
                  <w:pPr>
                    <w:spacing w:before="240"/>
                    <w:ind w:left="507" w:right="438"/>
                    <w:jc w:val="center"/>
                    <w:rPr>
                      <w:i/>
                      <w:color w:val="FFFFFF" w:themeColor="background1"/>
                      <w:sz w:val="26"/>
                      <w:szCs w:val="26"/>
                    </w:rPr>
                  </w:pPr>
                  <w:r w:rsidRPr="00D0059A">
                    <w:rPr>
                      <w:i/>
                      <w:color w:val="FFFFFF" w:themeColor="background1"/>
                      <w:sz w:val="26"/>
                      <w:szCs w:val="26"/>
                    </w:rPr>
                    <w:t>Persons with disabilities in NC experience sexual assault at a rate 5 times higher than persons without disabilities</w:t>
                  </w:r>
                </w:p>
                <w:p w14:paraId="5DDA1305" w14:textId="77777777" w:rsidR="00D0059A" w:rsidRDefault="00D0059A" w:rsidP="00205C95">
                  <w:pPr>
                    <w:spacing w:before="240"/>
                    <w:ind w:left="270" w:right="180"/>
                  </w:pPr>
                </w:p>
              </w:tc>
            </w:tr>
            <w:tr w:rsidR="00D0059A" w14:paraId="7CB03F85" w14:textId="77777777" w:rsidTr="00205C95">
              <w:trPr>
                <w:trHeight w:hRule="exact" w:val="8505"/>
              </w:trPr>
              <w:tc>
                <w:tcPr>
                  <w:tcW w:w="5000" w:type="pct"/>
                  <w:gridSpan w:val="2"/>
                  <w:tcMar>
                    <w:right w:w="864" w:type="dxa"/>
                  </w:tcMar>
                </w:tcPr>
                <w:p w14:paraId="51099ED5" w14:textId="77777777" w:rsidR="00D0059A" w:rsidRPr="001D4B15" w:rsidRDefault="00D0059A" w:rsidP="00205C95">
                  <w:pPr>
                    <w:spacing w:before="240"/>
                    <w:ind w:left="270" w:right="-565"/>
                    <w:rPr>
                      <w:color w:val="2B7471" w:themeColor="accent1" w:themeShade="80"/>
                      <w:sz w:val="24"/>
                      <w:szCs w:val="24"/>
                    </w:rPr>
                  </w:pPr>
                  <w:r w:rsidRPr="001D4B15">
                    <w:rPr>
                      <w:color w:val="2B7471" w:themeColor="accent1" w:themeShade="80"/>
                      <w:sz w:val="24"/>
                      <w:szCs w:val="24"/>
                    </w:rPr>
                    <w:t>What do we know about violence about people with IDD?</w:t>
                  </w:r>
                </w:p>
                <w:p w14:paraId="791F2EE3" w14:textId="77777777" w:rsidR="00D0059A" w:rsidRPr="001D4B15" w:rsidRDefault="00D0059A" w:rsidP="00205C95">
                  <w:pPr>
                    <w:spacing w:before="240"/>
                    <w:ind w:left="270" w:right="-565"/>
                    <w:rPr>
                      <w:color w:val="auto"/>
                      <w:sz w:val="22"/>
                      <w:szCs w:val="22"/>
                    </w:rPr>
                  </w:pPr>
                  <w:r w:rsidRPr="001D4B15">
                    <w:rPr>
                      <w:color w:val="auto"/>
                      <w:sz w:val="22"/>
                      <w:szCs w:val="22"/>
                    </w:rPr>
                    <w:t>Persons with disabilities in NC experience sexual assault at a rate 5 times higher than persons without disabilities.</w:t>
                  </w:r>
                </w:p>
                <w:p w14:paraId="3C56AEAE" w14:textId="77777777" w:rsidR="00D0059A" w:rsidRPr="001D4B15" w:rsidRDefault="00D0059A" w:rsidP="00205C95">
                  <w:pPr>
                    <w:spacing w:before="240"/>
                    <w:ind w:left="270" w:right="-565"/>
                    <w:rPr>
                      <w:color w:val="auto"/>
                      <w:sz w:val="22"/>
                      <w:szCs w:val="22"/>
                    </w:rPr>
                  </w:pPr>
                  <w:r w:rsidRPr="001D4B15">
                    <w:rPr>
                      <w:color w:val="auto"/>
                      <w:sz w:val="22"/>
                      <w:szCs w:val="22"/>
                    </w:rPr>
                    <w:t>80% of women and 60% of men with IDD have been sexually abused.</w:t>
                  </w:r>
                </w:p>
                <w:p w14:paraId="6478188F" w14:textId="77777777" w:rsidR="001D4B15" w:rsidRDefault="00D0059A" w:rsidP="00205C95">
                  <w:pPr>
                    <w:spacing w:before="120"/>
                    <w:ind w:left="270" w:right="-565"/>
                    <w:rPr>
                      <w:color w:val="auto"/>
                      <w:sz w:val="16"/>
                      <w:szCs w:val="16"/>
                    </w:rPr>
                  </w:pPr>
                  <w:r w:rsidRPr="001D4B15">
                    <w:rPr>
                      <w:color w:val="auto"/>
                      <w:sz w:val="22"/>
                      <w:szCs w:val="22"/>
                    </w:rPr>
                    <w:t>Sexual violence can be prevented.</w:t>
                  </w:r>
                </w:p>
                <w:p w14:paraId="6E530D7F" w14:textId="77777777" w:rsidR="001D4B15" w:rsidRPr="001D4B15" w:rsidRDefault="001D4B15" w:rsidP="00205C95">
                  <w:pPr>
                    <w:spacing w:before="120"/>
                    <w:ind w:left="270" w:right="-565"/>
                    <w:rPr>
                      <w:color w:val="auto"/>
                      <w:sz w:val="16"/>
                      <w:szCs w:val="16"/>
                    </w:rPr>
                  </w:pPr>
                </w:p>
                <w:p w14:paraId="0339C264" w14:textId="77777777" w:rsidR="00D0059A" w:rsidRPr="001D4B15" w:rsidRDefault="00D0059A" w:rsidP="00205C95">
                  <w:pPr>
                    <w:spacing w:before="120"/>
                    <w:ind w:left="270" w:right="-565"/>
                    <w:rPr>
                      <w:rFonts w:asciiTheme="majorHAnsi" w:hAnsiTheme="majorHAnsi"/>
                      <w:bCs/>
                      <w:color w:val="2B7471" w:themeColor="accent1" w:themeShade="80"/>
                      <w:sz w:val="24"/>
                      <w:szCs w:val="24"/>
                    </w:rPr>
                  </w:pPr>
                  <w:r w:rsidRPr="001D4B15">
                    <w:rPr>
                      <w:rFonts w:asciiTheme="majorHAnsi" w:hAnsiTheme="majorHAnsi"/>
                      <w:bCs/>
                      <w:color w:val="2B7471" w:themeColor="accent1" w:themeShade="80"/>
                      <w:sz w:val="24"/>
                      <w:szCs w:val="24"/>
                    </w:rPr>
                    <w:t>What is a developmental disability (DD)?</w:t>
                  </w:r>
                </w:p>
                <w:p w14:paraId="59E3368A" w14:textId="77777777" w:rsidR="00D0059A" w:rsidRDefault="00D0059A" w:rsidP="00205C95">
                  <w:pPr>
                    <w:pStyle w:val="Default"/>
                    <w:widowControl/>
                    <w:spacing w:before="120" w:line="276" w:lineRule="auto"/>
                    <w:ind w:left="270" w:right="-565"/>
                  </w:pPr>
                  <w:r w:rsidRPr="00205C95">
                    <w:rPr>
                      <w:rFonts w:asciiTheme="majorHAnsi" w:hAnsiTheme="majorHAnsi"/>
                      <w:i/>
                      <w:color w:val="auto"/>
                      <w:sz w:val="22"/>
                      <w:szCs w:val="22"/>
                    </w:rPr>
                    <w:t>DD means someone has limitations in three or more of the following areas</w:t>
                  </w:r>
                  <w:r w:rsidRPr="001D4B15">
                    <w:rPr>
                      <w:rFonts w:asciiTheme="majorHAnsi" w:hAnsiTheme="majorHAnsi"/>
                      <w:color w:val="auto"/>
                      <w:sz w:val="22"/>
                      <w:szCs w:val="22"/>
                    </w:rPr>
                    <w:t xml:space="preserve">: self–care, language, movement, self–direction, capacity for independent living, or economic self–sufficiency. </w:t>
                  </w:r>
                  <w:r w:rsidRPr="00205C95">
                    <w:rPr>
                      <w:rFonts w:asciiTheme="majorHAnsi" w:hAnsiTheme="majorHAnsi"/>
                      <w:i/>
                      <w:color w:val="auto"/>
                      <w:sz w:val="22"/>
                      <w:szCs w:val="22"/>
                    </w:rPr>
                    <w:t>The onset of DD is before age 22 and often includes intellectual disability</w:t>
                  </w:r>
                  <w:r w:rsidRPr="001D4B15">
                    <w:rPr>
                      <w:rFonts w:asciiTheme="majorHAnsi" w:hAnsiTheme="majorHAnsi"/>
                      <w:color w:val="auto"/>
                      <w:sz w:val="22"/>
                      <w:szCs w:val="22"/>
                    </w:rPr>
                    <w:t xml:space="preserve">. Examples are: autism spectrum disorder (ASD), Down syndrome, fragile X syndrome, cerebral palsy, or spina bifida. In North Carolina, DD includes disability caused by a traumatic brain injury at any age. </w:t>
                  </w:r>
                </w:p>
              </w:tc>
            </w:tr>
          </w:tbl>
          <w:p w14:paraId="1081DE09" w14:textId="77777777" w:rsidR="00D0059A" w:rsidRDefault="00D0059A" w:rsidP="00205C95">
            <w:pPr>
              <w:spacing w:before="240"/>
              <w:ind w:left="270" w:right="180"/>
            </w:pPr>
          </w:p>
        </w:tc>
        <w:tc>
          <w:tcPr>
            <w:tcW w:w="5207" w:type="dxa"/>
          </w:tcPr>
          <w:p w14:paraId="612FB78A" w14:textId="77777777" w:rsidR="000A2A5C" w:rsidRPr="001D4B15" w:rsidRDefault="000A2A5C" w:rsidP="00205C95">
            <w:pPr>
              <w:pStyle w:val="Default"/>
              <w:widowControl/>
              <w:spacing w:before="120" w:after="120" w:line="276" w:lineRule="auto"/>
              <w:ind w:left="270" w:right="373"/>
              <w:rPr>
                <w:rFonts w:asciiTheme="majorHAnsi" w:hAnsiTheme="majorHAnsi"/>
                <w:bCs/>
                <w:color w:val="2B7471" w:themeColor="accent1" w:themeShade="80"/>
              </w:rPr>
            </w:pPr>
            <w:r w:rsidRPr="001D4B15">
              <w:rPr>
                <w:rFonts w:asciiTheme="majorHAnsi" w:hAnsiTheme="majorHAnsi"/>
                <w:bCs/>
                <w:color w:val="2B7471" w:themeColor="accent1" w:themeShade="80"/>
              </w:rPr>
              <w:t>What is an intellectual disability (ID)?</w:t>
            </w:r>
          </w:p>
          <w:p w14:paraId="7EA112C7" w14:textId="77777777" w:rsidR="000A2A5C" w:rsidRPr="001D4B15" w:rsidRDefault="000A2A5C" w:rsidP="00205C95">
            <w:pPr>
              <w:pStyle w:val="Default"/>
              <w:widowControl/>
              <w:tabs>
                <w:tab w:val="left" w:pos="630"/>
              </w:tabs>
              <w:spacing w:before="120" w:after="120" w:line="276" w:lineRule="auto"/>
              <w:ind w:left="270" w:right="373"/>
              <w:rPr>
                <w:rFonts w:asciiTheme="majorHAnsi" w:hAnsiTheme="majorHAnsi"/>
                <w:bCs/>
                <w:color w:val="auto"/>
                <w:sz w:val="22"/>
                <w:szCs w:val="22"/>
              </w:rPr>
            </w:pPr>
            <w:r w:rsidRPr="001D4B15">
              <w:rPr>
                <w:rFonts w:asciiTheme="majorHAnsi" w:hAnsiTheme="majorHAnsi"/>
                <w:color w:val="auto"/>
                <w:sz w:val="22"/>
                <w:szCs w:val="22"/>
              </w:rPr>
              <w:t>ID means someone has limitations in intellectual functioning (reasoning, learning, solving problems) and in adaptive behavior (the range of everyday social and practical skills). This type of disability originates before the age of 18.</w:t>
            </w:r>
          </w:p>
          <w:p w14:paraId="045A60D8" w14:textId="77777777" w:rsidR="000A2A5C" w:rsidRPr="001D4B15" w:rsidRDefault="000A2A5C" w:rsidP="00205C95">
            <w:pPr>
              <w:pStyle w:val="Heading2"/>
              <w:tabs>
                <w:tab w:val="left" w:pos="-1260"/>
              </w:tabs>
              <w:spacing w:before="120" w:after="120"/>
              <w:ind w:left="270" w:right="373"/>
              <w:rPr>
                <w:b w:val="0"/>
                <w:color w:val="2B7471" w:themeColor="accent1" w:themeShade="80"/>
                <w:sz w:val="22"/>
                <w:szCs w:val="22"/>
              </w:rPr>
            </w:pPr>
          </w:p>
          <w:p w14:paraId="1A41FE63" w14:textId="77777777" w:rsidR="000A2A5C" w:rsidRPr="001D4B15" w:rsidRDefault="000A2A5C" w:rsidP="00205C95">
            <w:pPr>
              <w:pStyle w:val="Heading2"/>
              <w:tabs>
                <w:tab w:val="left" w:pos="-1260"/>
              </w:tabs>
              <w:spacing w:before="120" w:after="120"/>
              <w:ind w:left="270" w:right="373"/>
              <w:rPr>
                <w:b w:val="0"/>
                <w:color w:val="2B7471" w:themeColor="accent1" w:themeShade="80"/>
                <w:sz w:val="24"/>
                <w:szCs w:val="24"/>
              </w:rPr>
            </w:pPr>
            <w:r w:rsidRPr="001D4B15">
              <w:rPr>
                <w:b w:val="0"/>
                <w:color w:val="2B7471" w:themeColor="accent1" w:themeShade="80"/>
                <w:sz w:val="24"/>
                <w:szCs w:val="24"/>
              </w:rPr>
              <w:t xml:space="preserve">When you are supporting a survivor with IDD… </w:t>
            </w:r>
          </w:p>
          <w:p w14:paraId="70C8CD1D" w14:textId="77777777" w:rsidR="00F83432" w:rsidRPr="00F83432" w:rsidRDefault="00F83432" w:rsidP="00F83432">
            <w:pPr>
              <w:pStyle w:val="ListParagraph"/>
              <w:numPr>
                <w:ilvl w:val="0"/>
                <w:numId w:val="6"/>
              </w:numPr>
              <w:spacing w:line="276" w:lineRule="auto"/>
              <w:ind w:right="373"/>
              <w:rPr>
                <w:rFonts w:asciiTheme="majorHAnsi" w:hAnsiTheme="majorHAnsi" w:cs="Arial"/>
                <w:bCs/>
                <w:sz w:val="22"/>
                <w:szCs w:val="22"/>
              </w:rPr>
            </w:pPr>
            <w:r w:rsidRPr="00F83432">
              <w:rPr>
                <w:rFonts w:asciiTheme="majorHAnsi" w:hAnsiTheme="majorHAnsi" w:cs="Arial"/>
                <w:bCs/>
                <w:sz w:val="22"/>
                <w:szCs w:val="22"/>
              </w:rPr>
              <w:t xml:space="preserve">Acknowledge the individual’s emotional state. </w:t>
            </w:r>
            <w:r w:rsidRPr="00F83432">
              <w:rPr>
                <w:rFonts w:asciiTheme="majorHAnsi" w:hAnsiTheme="majorHAnsi" w:cs="Arial"/>
                <w:bCs/>
                <w:i/>
                <w:iCs/>
                <w:sz w:val="22"/>
                <w:szCs w:val="22"/>
              </w:rPr>
              <w:t xml:space="preserve">You seem upset today...You must be proud...That must be frightening. </w:t>
            </w:r>
            <w:r w:rsidRPr="00F83432">
              <w:rPr>
                <w:rFonts w:asciiTheme="majorHAnsi" w:hAnsiTheme="majorHAnsi" w:cs="Arial"/>
                <w:bCs/>
                <w:sz w:val="22"/>
                <w:szCs w:val="22"/>
              </w:rPr>
              <w:t xml:space="preserve">Such statements validate the individual’s </w:t>
            </w:r>
            <w:proofErr w:type="gramStart"/>
            <w:r w:rsidRPr="00F83432">
              <w:rPr>
                <w:rFonts w:asciiTheme="majorHAnsi" w:hAnsiTheme="majorHAnsi" w:cs="Arial"/>
                <w:bCs/>
                <w:sz w:val="22"/>
                <w:szCs w:val="22"/>
              </w:rPr>
              <w:t>experience, and</w:t>
            </w:r>
            <w:proofErr w:type="gramEnd"/>
            <w:r w:rsidRPr="00F83432">
              <w:rPr>
                <w:rFonts w:asciiTheme="majorHAnsi" w:hAnsiTheme="majorHAnsi" w:cs="Arial"/>
                <w:bCs/>
                <w:sz w:val="22"/>
                <w:szCs w:val="22"/>
              </w:rPr>
              <w:t xml:space="preserve"> help to build trust. </w:t>
            </w:r>
          </w:p>
          <w:p w14:paraId="6271D7BB" w14:textId="77777777" w:rsidR="00F83432" w:rsidRPr="00F83432" w:rsidRDefault="00F83432" w:rsidP="00F83432">
            <w:pPr>
              <w:pStyle w:val="ListParagraph"/>
              <w:numPr>
                <w:ilvl w:val="0"/>
                <w:numId w:val="6"/>
              </w:numPr>
              <w:spacing w:line="276" w:lineRule="auto"/>
              <w:ind w:right="373"/>
              <w:rPr>
                <w:rFonts w:asciiTheme="majorHAnsi" w:hAnsiTheme="majorHAnsi" w:cs="Arial"/>
                <w:bCs/>
                <w:sz w:val="22"/>
                <w:szCs w:val="22"/>
              </w:rPr>
            </w:pPr>
            <w:r w:rsidRPr="00F83432">
              <w:rPr>
                <w:rFonts w:asciiTheme="majorHAnsi" w:hAnsiTheme="majorHAnsi" w:cs="Arial"/>
                <w:bCs/>
                <w:sz w:val="22"/>
                <w:szCs w:val="22"/>
              </w:rPr>
              <w:t xml:space="preserve">Behavior is one way of communicating. Pay attention to non–verbal cues, over–compliance, resistance, and body language. </w:t>
            </w:r>
          </w:p>
          <w:p w14:paraId="446E0710" w14:textId="77777777" w:rsidR="00F83432" w:rsidRPr="00F83432" w:rsidRDefault="00F83432" w:rsidP="00F83432">
            <w:pPr>
              <w:pStyle w:val="ListParagraph"/>
              <w:numPr>
                <w:ilvl w:val="0"/>
                <w:numId w:val="6"/>
              </w:numPr>
              <w:spacing w:line="276" w:lineRule="auto"/>
              <w:ind w:right="373"/>
              <w:rPr>
                <w:rFonts w:asciiTheme="majorHAnsi" w:hAnsiTheme="majorHAnsi" w:cs="Arial"/>
                <w:bCs/>
                <w:sz w:val="22"/>
                <w:szCs w:val="22"/>
              </w:rPr>
            </w:pPr>
            <w:r w:rsidRPr="00F83432">
              <w:rPr>
                <w:rFonts w:asciiTheme="majorHAnsi" w:hAnsiTheme="majorHAnsi" w:cs="Arial"/>
                <w:bCs/>
                <w:sz w:val="22"/>
                <w:szCs w:val="22"/>
              </w:rPr>
              <w:t xml:space="preserve">Use more than one way to give information. Include stories, graphics, icons, and other tools. </w:t>
            </w:r>
          </w:p>
          <w:p w14:paraId="4C11BA64" w14:textId="77777777" w:rsidR="00F83432" w:rsidRPr="00F83432" w:rsidRDefault="00F83432" w:rsidP="00F83432">
            <w:pPr>
              <w:pStyle w:val="ListParagraph"/>
              <w:numPr>
                <w:ilvl w:val="0"/>
                <w:numId w:val="6"/>
              </w:numPr>
              <w:spacing w:line="276" w:lineRule="auto"/>
              <w:ind w:right="373"/>
              <w:rPr>
                <w:rFonts w:asciiTheme="majorHAnsi" w:hAnsiTheme="majorHAnsi" w:cs="Arial"/>
                <w:bCs/>
                <w:sz w:val="22"/>
                <w:szCs w:val="22"/>
              </w:rPr>
            </w:pPr>
            <w:r w:rsidRPr="00F83432">
              <w:rPr>
                <w:rFonts w:asciiTheme="majorHAnsi" w:hAnsiTheme="majorHAnsi" w:cs="Arial"/>
                <w:bCs/>
                <w:sz w:val="22"/>
                <w:szCs w:val="22"/>
              </w:rPr>
              <w:t xml:space="preserve">Some individuals may feel comfortable pacing, need a small space, or prefer a quiet place away from distractions. </w:t>
            </w:r>
          </w:p>
          <w:p w14:paraId="5F287667" w14:textId="77777777" w:rsidR="00D0059A" w:rsidRPr="001D4B15" w:rsidRDefault="00F83432" w:rsidP="00F83432">
            <w:pPr>
              <w:pStyle w:val="ListParagraph"/>
              <w:numPr>
                <w:ilvl w:val="0"/>
                <w:numId w:val="6"/>
              </w:numPr>
              <w:overflowPunct w:val="0"/>
              <w:spacing w:line="276" w:lineRule="auto"/>
              <w:ind w:right="373"/>
              <w:rPr>
                <w:sz w:val="22"/>
                <w:szCs w:val="22"/>
              </w:rPr>
            </w:pPr>
            <w:r w:rsidRPr="00F83432">
              <w:rPr>
                <w:rFonts w:asciiTheme="majorHAnsi" w:hAnsiTheme="majorHAnsi" w:cs="Arial"/>
                <w:bCs/>
                <w:sz w:val="22"/>
                <w:szCs w:val="22"/>
              </w:rPr>
              <w:t>Use verbal or visual cues when changing topics. If the individual is having difficulty understanding a question, try asking it in a different way.</w:t>
            </w:r>
            <w:r w:rsidRPr="00F83432" w:rsidDel="0024095C">
              <w:rPr>
                <w:rFonts w:asciiTheme="majorHAnsi" w:hAnsiTheme="majorHAnsi" w:cs="Arial"/>
                <w:bCs/>
                <w:sz w:val="22"/>
                <w:szCs w:val="22"/>
              </w:rPr>
              <w:t xml:space="preserve"> </w:t>
            </w:r>
          </w:p>
        </w:tc>
        <w:tc>
          <w:tcPr>
            <w:tcW w:w="4940" w:type="dxa"/>
          </w:tcPr>
          <w:p w14:paraId="2E5332B9" w14:textId="77777777" w:rsidR="000A2A5C" w:rsidRDefault="001D4B15" w:rsidP="00205C95">
            <w:pPr>
              <w:pStyle w:val="Heading2"/>
              <w:spacing w:before="0"/>
              <w:ind w:left="270"/>
              <w:rPr>
                <w:b w:val="0"/>
                <w:color w:val="2B7471" w:themeColor="accent1" w:themeShade="80"/>
                <w:sz w:val="24"/>
                <w:szCs w:val="24"/>
              </w:rPr>
            </w:pPr>
            <w:r>
              <w:rPr>
                <w:noProof/>
                <w:lang w:eastAsia="en-US"/>
              </w:rPr>
              <w:drawing>
                <wp:anchor distT="0" distB="0" distL="114300" distR="114300" simplePos="0" relativeHeight="251669504" behindDoc="1" locked="0" layoutInCell="1" allowOverlap="1" wp14:anchorId="2D235CC1" wp14:editId="40AA2344">
                  <wp:simplePos x="0" y="0"/>
                  <wp:positionH relativeFrom="column">
                    <wp:posOffset>104275</wp:posOffset>
                  </wp:positionH>
                  <wp:positionV relativeFrom="paragraph">
                    <wp:posOffset>446</wp:posOffset>
                  </wp:positionV>
                  <wp:extent cx="2567940" cy="1833880"/>
                  <wp:effectExtent l="0" t="0" r="3810" b="0"/>
                  <wp:wrapTight wrapText="bothSides">
                    <wp:wrapPolygon edited="0">
                      <wp:start x="0" y="0"/>
                      <wp:lineTo x="0" y="21316"/>
                      <wp:lineTo x="21472" y="21316"/>
                      <wp:lineTo x="21472" y="0"/>
                      <wp:lineTo x="0" y="0"/>
                    </wp:wrapPolygon>
                  </wp:wrapTight>
                  <wp:docPr id="8" name="Picture 8" descr="http://worldenabled.org/wp-content/uploads/2015/07/see-the-person-not-the-dis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ldenabled.org/wp-content/uploads/2015/07/see-the-person-not-the-disabilit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7940" cy="183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DACDD" w14:textId="77777777" w:rsidR="000A2A5C" w:rsidRPr="001D4B15" w:rsidRDefault="00576D10" w:rsidP="00205C95">
            <w:pPr>
              <w:pStyle w:val="Heading2"/>
              <w:spacing w:before="120"/>
              <w:ind w:left="270" w:right="648"/>
              <w:jc w:val="both"/>
              <w:rPr>
                <w:b w:val="0"/>
                <w:color w:val="2B7471" w:themeColor="accent1" w:themeShade="80"/>
                <w:sz w:val="24"/>
                <w:szCs w:val="24"/>
                <w:vertAlign w:val="subscript"/>
              </w:rPr>
            </w:pPr>
            <w:r w:rsidRPr="001D4B15">
              <w:rPr>
                <w:b w:val="0"/>
                <w:color w:val="2B7471" w:themeColor="accent1" w:themeShade="80"/>
                <w:sz w:val="24"/>
                <w:szCs w:val="24"/>
              </w:rPr>
              <w:t>Using Person-First Language</w:t>
            </w:r>
          </w:p>
          <w:p w14:paraId="156D62F8" w14:textId="77777777" w:rsidR="00576D10" w:rsidRPr="001D4B15" w:rsidRDefault="00576D10" w:rsidP="00205C95">
            <w:pPr>
              <w:pStyle w:val="ListParagraph"/>
              <w:widowControl w:val="0"/>
              <w:numPr>
                <w:ilvl w:val="0"/>
                <w:numId w:val="7"/>
              </w:numPr>
              <w:tabs>
                <w:tab w:val="left" w:pos="360"/>
                <w:tab w:val="left" w:pos="450"/>
              </w:tabs>
              <w:overflowPunct w:val="0"/>
              <w:autoSpaceDE w:val="0"/>
              <w:autoSpaceDN w:val="0"/>
              <w:adjustRightInd w:val="0"/>
              <w:spacing w:before="120" w:line="276" w:lineRule="auto"/>
              <w:ind w:left="270" w:right="648" w:hanging="180"/>
              <w:rPr>
                <w:rFonts w:asciiTheme="majorHAnsi" w:hAnsiTheme="majorHAnsi" w:cs="Arial"/>
                <w:sz w:val="22"/>
                <w:szCs w:val="22"/>
              </w:rPr>
            </w:pPr>
            <w:r w:rsidRPr="001D4B15">
              <w:rPr>
                <w:rFonts w:asciiTheme="majorHAnsi" w:hAnsiTheme="majorHAnsi" w:cs="Arial"/>
                <w:bCs/>
                <w:sz w:val="22"/>
                <w:szCs w:val="22"/>
              </w:rPr>
              <w:t>Put the person first</w:t>
            </w:r>
            <w:r w:rsidRPr="001D4B15">
              <w:rPr>
                <w:rFonts w:asciiTheme="majorHAnsi" w:hAnsiTheme="majorHAnsi" w:cs="Arial"/>
                <w:sz w:val="22"/>
                <w:szCs w:val="22"/>
              </w:rPr>
              <w:t xml:space="preserve">. </w:t>
            </w:r>
            <w:r w:rsidRPr="001D4B15">
              <w:rPr>
                <w:rFonts w:asciiTheme="majorHAnsi" w:hAnsiTheme="majorHAnsi" w:cs="Arial"/>
                <w:i/>
                <w:iCs/>
                <w:sz w:val="22"/>
                <w:szCs w:val="22"/>
              </w:rPr>
              <w:t xml:space="preserve">Person with a disability </w:t>
            </w:r>
            <w:r w:rsidRPr="001D4B15">
              <w:rPr>
                <w:rFonts w:asciiTheme="majorHAnsi" w:hAnsiTheme="majorHAnsi" w:cs="Arial"/>
                <w:sz w:val="22"/>
                <w:szCs w:val="22"/>
              </w:rPr>
              <w:t xml:space="preserve">instead of </w:t>
            </w:r>
            <w:r w:rsidRPr="001D4B15">
              <w:rPr>
                <w:rFonts w:asciiTheme="majorHAnsi" w:hAnsiTheme="majorHAnsi" w:cs="Arial"/>
                <w:i/>
                <w:iCs/>
                <w:sz w:val="22"/>
                <w:szCs w:val="22"/>
              </w:rPr>
              <w:t>disabled person.</w:t>
            </w:r>
          </w:p>
          <w:p w14:paraId="207A7EEA" w14:textId="77777777" w:rsidR="00576D10" w:rsidRPr="001D4B15" w:rsidRDefault="00576D10" w:rsidP="00205C95">
            <w:pPr>
              <w:pStyle w:val="ListParagraph"/>
              <w:widowControl w:val="0"/>
              <w:numPr>
                <w:ilvl w:val="0"/>
                <w:numId w:val="7"/>
              </w:numPr>
              <w:tabs>
                <w:tab w:val="left" w:pos="360"/>
                <w:tab w:val="left" w:pos="450"/>
              </w:tabs>
              <w:overflowPunct w:val="0"/>
              <w:autoSpaceDE w:val="0"/>
              <w:autoSpaceDN w:val="0"/>
              <w:adjustRightInd w:val="0"/>
              <w:spacing w:before="120" w:line="276" w:lineRule="auto"/>
              <w:ind w:left="270" w:right="648" w:hanging="180"/>
              <w:rPr>
                <w:rFonts w:asciiTheme="majorHAnsi" w:hAnsiTheme="majorHAnsi" w:cs="Arial"/>
                <w:sz w:val="22"/>
                <w:szCs w:val="22"/>
              </w:rPr>
            </w:pPr>
            <w:r w:rsidRPr="001D4B15">
              <w:rPr>
                <w:rFonts w:asciiTheme="majorHAnsi" w:hAnsiTheme="majorHAnsi" w:cs="Arial"/>
                <w:bCs/>
                <w:sz w:val="22"/>
                <w:szCs w:val="22"/>
              </w:rPr>
              <w:t xml:space="preserve">Say </w:t>
            </w:r>
            <w:r w:rsidRPr="001D4B15">
              <w:rPr>
                <w:rFonts w:asciiTheme="majorHAnsi" w:hAnsiTheme="majorHAnsi" w:cs="Arial"/>
                <w:bCs/>
                <w:i/>
                <w:iCs/>
                <w:sz w:val="22"/>
                <w:szCs w:val="22"/>
              </w:rPr>
              <w:t>wheelchair user</w:t>
            </w:r>
            <w:r w:rsidRPr="001D4B15">
              <w:rPr>
                <w:rFonts w:asciiTheme="majorHAnsi" w:hAnsiTheme="majorHAnsi" w:cs="Arial"/>
                <w:bCs/>
                <w:sz w:val="22"/>
                <w:szCs w:val="22"/>
              </w:rPr>
              <w:t>,</w:t>
            </w:r>
            <w:r w:rsidRPr="001D4B15">
              <w:rPr>
                <w:rFonts w:asciiTheme="majorHAnsi" w:hAnsiTheme="majorHAnsi" w:cs="Arial"/>
                <w:sz w:val="22"/>
                <w:szCs w:val="22"/>
              </w:rPr>
              <w:t xml:space="preserve"> rather than </w:t>
            </w:r>
            <w:r w:rsidRPr="001D4B15">
              <w:rPr>
                <w:rFonts w:asciiTheme="majorHAnsi" w:hAnsiTheme="majorHAnsi" w:cs="Arial"/>
                <w:i/>
                <w:iCs/>
                <w:sz w:val="22"/>
                <w:szCs w:val="22"/>
              </w:rPr>
              <w:t>wheelchair bound</w:t>
            </w:r>
            <w:r w:rsidRPr="001D4B15">
              <w:rPr>
                <w:rFonts w:asciiTheme="majorHAnsi" w:hAnsiTheme="majorHAnsi" w:cs="Arial"/>
                <w:sz w:val="22"/>
                <w:szCs w:val="22"/>
              </w:rPr>
              <w:t>. The wheelchair enables the person to get around and participate in society; it’s liberating, not confining.</w:t>
            </w:r>
          </w:p>
          <w:p w14:paraId="1663A10A" w14:textId="77777777" w:rsidR="00576D10" w:rsidRPr="001D4B15" w:rsidRDefault="00576D10" w:rsidP="00205C95">
            <w:pPr>
              <w:pStyle w:val="ListParagraph"/>
              <w:widowControl w:val="0"/>
              <w:numPr>
                <w:ilvl w:val="0"/>
                <w:numId w:val="7"/>
              </w:numPr>
              <w:tabs>
                <w:tab w:val="left" w:pos="360"/>
                <w:tab w:val="left" w:pos="450"/>
              </w:tabs>
              <w:overflowPunct w:val="0"/>
              <w:autoSpaceDE w:val="0"/>
              <w:autoSpaceDN w:val="0"/>
              <w:adjustRightInd w:val="0"/>
              <w:spacing w:before="120" w:line="276" w:lineRule="auto"/>
              <w:ind w:left="270" w:right="648" w:hanging="180"/>
              <w:rPr>
                <w:rFonts w:asciiTheme="majorHAnsi" w:hAnsiTheme="majorHAnsi" w:cs="Arial"/>
                <w:sz w:val="22"/>
                <w:szCs w:val="22"/>
              </w:rPr>
            </w:pPr>
            <w:r w:rsidRPr="001D4B15">
              <w:rPr>
                <w:rFonts w:asciiTheme="majorHAnsi" w:hAnsiTheme="majorHAnsi" w:cs="Arial"/>
                <w:bCs/>
                <w:sz w:val="22"/>
                <w:szCs w:val="22"/>
              </w:rPr>
              <w:t>It’s okay to use idiomatic expressions</w:t>
            </w:r>
            <w:r w:rsidRPr="001D4B15">
              <w:rPr>
                <w:rFonts w:asciiTheme="majorHAnsi" w:hAnsiTheme="majorHAnsi" w:cs="Arial"/>
                <w:sz w:val="22"/>
                <w:szCs w:val="22"/>
              </w:rPr>
              <w:t xml:space="preserve"> when talking to people with disabilities. </w:t>
            </w:r>
            <w:r w:rsidRPr="001D4B15">
              <w:rPr>
                <w:rFonts w:asciiTheme="majorHAnsi" w:hAnsiTheme="majorHAnsi" w:cs="Arial"/>
                <w:i/>
                <w:sz w:val="22"/>
                <w:szCs w:val="22"/>
              </w:rPr>
              <w:t>See you later</w:t>
            </w:r>
            <w:r w:rsidRPr="001D4B15">
              <w:rPr>
                <w:rFonts w:asciiTheme="majorHAnsi" w:hAnsiTheme="majorHAnsi" w:cs="Arial"/>
                <w:sz w:val="22"/>
                <w:szCs w:val="22"/>
              </w:rPr>
              <w:t>, to a person who is blind is acceptable.</w:t>
            </w:r>
          </w:p>
          <w:p w14:paraId="0725C1CC" w14:textId="77777777" w:rsidR="00576D10" w:rsidRPr="001D4B15" w:rsidRDefault="00576D10" w:rsidP="00205C95">
            <w:pPr>
              <w:pStyle w:val="ListParagraph"/>
              <w:widowControl w:val="0"/>
              <w:numPr>
                <w:ilvl w:val="0"/>
                <w:numId w:val="7"/>
              </w:numPr>
              <w:tabs>
                <w:tab w:val="left" w:pos="360"/>
                <w:tab w:val="left" w:pos="450"/>
              </w:tabs>
              <w:overflowPunct w:val="0"/>
              <w:autoSpaceDE w:val="0"/>
              <w:autoSpaceDN w:val="0"/>
              <w:adjustRightInd w:val="0"/>
              <w:spacing w:before="120" w:line="276" w:lineRule="auto"/>
              <w:ind w:left="270" w:right="648" w:hanging="180"/>
              <w:rPr>
                <w:rFonts w:asciiTheme="majorHAnsi" w:hAnsiTheme="majorHAnsi" w:cs="Arial"/>
                <w:sz w:val="22"/>
                <w:szCs w:val="22"/>
              </w:rPr>
            </w:pPr>
            <w:r w:rsidRPr="001D4B15">
              <w:rPr>
                <w:rFonts w:asciiTheme="majorHAnsi" w:hAnsiTheme="majorHAnsi" w:cs="Arial"/>
                <w:bCs/>
                <w:sz w:val="22"/>
                <w:szCs w:val="22"/>
              </w:rPr>
              <w:t>Avoid disempowering words</w:t>
            </w:r>
            <w:r w:rsidRPr="001D4B15">
              <w:rPr>
                <w:rFonts w:asciiTheme="majorHAnsi" w:hAnsiTheme="majorHAnsi" w:cs="Arial"/>
                <w:sz w:val="22"/>
                <w:szCs w:val="22"/>
              </w:rPr>
              <w:t xml:space="preserve">: </w:t>
            </w:r>
            <w:r w:rsidRPr="001D4B15">
              <w:rPr>
                <w:rFonts w:asciiTheme="majorHAnsi" w:hAnsiTheme="majorHAnsi" w:cs="Arial"/>
                <w:i/>
                <w:iCs/>
                <w:sz w:val="22"/>
                <w:szCs w:val="22"/>
              </w:rPr>
              <w:t>victim, sufferer</w:t>
            </w:r>
            <w:r w:rsidRPr="001D4B15">
              <w:rPr>
                <w:rFonts w:asciiTheme="majorHAnsi" w:hAnsiTheme="majorHAnsi" w:cs="Arial"/>
                <w:sz w:val="22"/>
                <w:szCs w:val="22"/>
              </w:rPr>
              <w:t xml:space="preserve">. </w:t>
            </w:r>
          </w:p>
          <w:p w14:paraId="4E885552" w14:textId="77777777" w:rsidR="00576D10" w:rsidRPr="001D4B15" w:rsidRDefault="00576D10" w:rsidP="00205C95">
            <w:pPr>
              <w:pStyle w:val="ListParagraph"/>
              <w:widowControl w:val="0"/>
              <w:numPr>
                <w:ilvl w:val="0"/>
                <w:numId w:val="7"/>
              </w:numPr>
              <w:tabs>
                <w:tab w:val="left" w:pos="360"/>
                <w:tab w:val="left" w:pos="450"/>
              </w:tabs>
              <w:overflowPunct w:val="0"/>
              <w:autoSpaceDE w:val="0"/>
              <w:autoSpaceDN w:val="0"/>
              <w:adjustRightInd w:val="0"/>
              <w:spacing w:before="120" w:line="276" w:lineRule="auto"/>
              <w:ind w:left="270" w:right="648" w:hanging="180"/>
              <w:rPr>
                <w:rFonts w:asciiTheme="majorHAnsi" w:hAnsiTheme="majorHAnsi" w:cs="Arial"/>
                <w:sz w:val="22"/>
                <w:szCs w:val="22"/>
              </w:rPr>
            </w:pPr>
            <w:r w:rsidRPr="001D4B15">
              <w:rPr>
                <w:rFonts w:asciiTheme="majorHAnsi" w:hAnsiTheme="majorHAnsi" w:cs="Arial"/>
                <w:bCs/>
                <w:sz w:val="22"/>
                <w:szCs w:val="22"/>
              </w:rPr>
              <w:t>Avoid outdated terms</w:t>
            </w:r>
            <w:r w:rsidRPr="001D4B15">
              <w:rPr>
                <w:rFonts w:asciiTheme="majorHAnsi" w:hAnsiTheme="majorHAnsi" w:cs="Arial"/>
                <w:sz w:val="22"/>
                <w:szCs w:val="22"/>
              </w:rPr>
              <w:t xml:space="preserve"> like </w:t>
            </w:r>
            <w:r w:rsidRPr="001D4B15">
              <w:rPr>
                <w:rFonts w:asciiTheme="majorHAnsi" w:hAnsiTheme="majorHAnsi" w:cs="Arial"/>
                <w:i/>
                <w:iCs/>
                <w:sz w:val="22"/>
                <w:szCs w:val="22"/>
              </w:rPr>
              <w:t>handicapped</w:t>
            </w:r>
            <w:r w:rsidRPr="001D4B15">
              <w:rPr>
                <w:rFonts w:asciiTheme="majorHAnsi" w:hAnsiTheme="majorHAnsi" w:cs="Arial"/>
                <w:iCs/>
                <w:sz w:val="22"/>
                <w:szCs w:val="22"/>
              </w:rPr>
              <w:t>,</w:t>
            </w:r>
            <w:r w:rsidRPr="001D4B15">
              <w:rPr>
                <w:rFonts w:asciiTheme="majorHAnsi" w:hAnsiTheme="majorHAnsi" w:cs="Arial"/>
                <w:sz w:val="22"/>
                <w:szCs w:val="22"/>
              </w:rPr>
              <w:t xml:space="preserve"> </w:t>
            </w:r>
            <w:r w:rsidRPr="001D4B15">
              <w:rPr>
                <w:rFonts w:asciiTheme="majorHAnsi" w:hAnsiTheme="majorHAnsi" w:cs="Arial"/>
                <w:i/>
                <w:iCs/>
                <w:sz w:val="22"/>
                <w:szCs w:val="22"/>
              </w:rPr>
              <w:t xml:space="preserve">crippled </w:t>
            </w:r>
            <w:r w:rsidRPr="001D4B15">
              <w:rPr>
                <w:rFonts w:asciiTheme="majorHAnsi" w:hAnsiTheme="majorHAnsi" w:cs="Arial"/>
                <w:iCs/>
                <w:sz w:val="22"/>
                <w:szCs w:val="22"/>
              </w:rPr>
              <w:t xml:space="preserve">and </w:t>
            </w:r>
            <w:r w:rsidRPr="001D4B15">
              <w:rPr>
                <w:rFonts w:asciiTheme="majorHAnsi" w:hAnsiTheme="majorHAnsi" w:cs="Arial"/>
                <w:i/>
                <w:iCs/>
                <w:sz w:val="22"/>
                <w:szCs w:val="22"/>
              </w:rPr>
              <w:t>retarded</w:t>
            </w:r>
            <w:r w:rsidRPr="001D4B15">
              <w:rPr>
                <w:rFonts w:asciiTheme="majorHAnsi" w:hAnsiTheme="majorHAnsi" w:cs="Arial"/>
                <w:sz w:val="22"/>
                <w:szCs w:val="22"/>
              </w:rPr>
              <w:t>.</w:t>
            </w:r>
          </w:p>
          <w:p w14:paraId="5F3E1D0E" w14:textId="77777777" w:rsidR="00D3019A" w:rsidRDefault="00D3019A" w:rsidP="00205C95">
            <w:pPr>
              <w:ind w:left="270" w:firstLine="900"/>
            </w:pPr>
          </w:p>
          <w:p w14:paraId="6CED7BFF" w14:textId="77777777" w:rsidR="00D3019A" w:rsidRPr="00D3019A" w:rsidRDefault="00D3019A" w:rsidP="00D3019A"/>
          <w:p w14:paraId="6DBAE4A3" w14:textId="77777777" w:rsidR="00D3019A" w:rsidRDefault="00D3019A" w:rsidP="00D3019A"/>
          <w:p w14:paraId="35E23CEC" w14:textId="77777777" w:rsidR="00D0059A" w:rsidRPr="00D3019A" w:rsidRDefault="00D0059A" w:rsidP="00D3019A">
            <w:pPr>
              <w:tabs>
                <w:tab w:val="left" w:pos="3554"/>
              </w:tabs>
            </w:pPr>
          </w:p>
        </w:tc>
      </w:tr>
    </w:tbl>
    <w:p w14:paraId="5397C8F3" w14:textId="77777777" w:rsidR="00CD46B7" w:rsidRDefault="00CD46B7" w:rsidP="003C1328">
      <w:pPr>
        <w:tabs>
          <w:tab w:val="left" w:pos="2206"/>
        </w:tabs>
      </w:pPr>
    </w:p>
    <w:sectPr w:rsidR="00CD46B7" w:rsidSect="00F83432">
      <w:pgSz w:w="15840" w:h="12240" w:orient="landscape"/>
      <w:pgMar w:top="450" w:right="835" w:bottom="63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CD5E" w14:textId="77777777" w:rsidR="00496E70" w:rsidRDefault="00496E70" w:rsidP="009E6EC6">
      <w:pPr>
        <w:spacing w:after="0" w:line="240" w:lineRule="auto"/>
      </w:pPr>
      <w:r>
        <w:separator/>
      </w:r>
    </w:p>
  </w:endnote>
  <w:endnote w:type="continuationSeparator" w:id="0">
    <w:p w14:paraId="02A86FD1" w14:textId="77777777" w:rsidR="00496E70" w:rsidRDefault="00496E70" w:rsidP="009E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D556" w14:textId="77777777" w:rsidR="00496E70" w:rsidRDefault="00496E70" w:rsidP="009E6EC6">
      <w:pPr>
        <w:spacing w:after="0" w:line="240" w:lineRule="auto"/>
      </w:pPr>
      <w:r>
        <w:separator/>
      </w:r>
    </w:p>
  </w:footnote>
  <w:footnote w:type="continuationSeparator" w:id="0">
    <w:p w14:paraId="03824E31" w14:textId="77777777" w:rsidR="00496E70" w:rsidRDefault="00496E70" w:rsidP="009E6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74CBC8" w:themeColor="accent1"/>
      </w:rPr>
    </w:lvl>
  </w:abstractNum>
  <w:abstractNum w:abstractNumId="2" w15:restartNumberingAfterBreak="0">
    <w:nsid w:val="26CD38D8"/>
    <w:multiLevelType w:val="hybridMultilevel"/>
    <w:tmpl w:val="94DC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AD7052"/>
    <w:multiLevelType w:val="hybridMultilevel"/>
    <w:tmpl w:val="8CCAA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804AE"/>
    <w:multiLevelType w:val="hybridMultilevel"/>
    <w:tmpl w:val="4F9CAC04"/>
    <w:lvl w:ilvl="0" w:tplc="998C102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B0"/>
    <w:rsid w:val="000A2A5C"/>
    <w:rsid w:val="001D4B15"/>
    <w:rsid w:val="00205057"/>
    <w:rsid w:val="00205C95"/>
    <w:rsid w:val="003C1328"/>
    <w:rsid w:val="003E0B5D"/>
    <w:rsid w:val="00496E70"/>
    <w:rsid w:val="00576D10"/>
    <w:rsid w:val="00837DDF"/>
    <w:rsid w:val="009742B0"/>
    <w:rsid w:val="009E6EC6"/>
    <w:rsid w:val="00CD46B7"/>
    <w:rsid w:val="00D0059A"/>
    <w:rsid w:val="00D3019A"/>
    <w:rsid w:val="00EF6E7A"/>
    <w:rsid w:val="00F8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98BC1"/>
  <w15:chartTrackingRefBased/>
  <w15:docId w15:val="{2FD12B6A-44C8-47B8-98A4-C969189E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18"/>
        <w:szCs w:val="18"/>
        <w:lang w:val="en-U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rPr>
  </w:style>
  <w:style w:type="paragraph" w:customStyle="1" w:styleId="ReturnAddress">
    <w:name w:val="Return Address"/>
    <w:basedOn w:val="Normal"/>
    <w:uiPriority w:val="1"/>
    <w:qFormat/>
    <w:pPr>
      <w:spacing w:after="0" w:line="288" w:lineRule="auto"/>
    </w:pPr>
    <w:rPr>
      <w:color w:val="595959" w:themeColor="text1" w:themeTint="A6"/>
    </w:rPr>
  </w:style>
  <w:style w:type="paragraph" w:styleId="Title">
    <w:name w:val="Title"/>
    <w:basedOn w:val="Normal"/>
    <w:link w:val="TitleChar"/>
    <w:uiPriority w:val="1"/>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2"/>
    <w:qFormat/>
    <w:pPr>
      <w:numPr>
        <w:ilvl w:val="1"/>
      </w:numPr>
      <w:spacing w:after="0"/>
      <w:contextualSpacing/>
    </w:pPr>
    <w:rPr>
      <w:color w:val="2B7471" w:themeColor="accent1" w:themeShade="80"/>
    </w:rPr>
  </w:style>
  <w:style w:type="character" w:customStyle="1" w:styleId="SubtitleChar">
    <w:name w:val="Subtitle Char"/>
    <w:basedOn w:val="DefaultParagraphFont"/>
    <w:link w:val="Subtitle"/>
    <w:uiPriority w:val="2"/>
    <w:rPr>
      <w:color w:val="2B7471" w:themeColor="accent1" w:themeShade="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tabs>
        <w:tab w:val="left" w:pos="360"/>
      </w:tabs>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site">
    <w:name w:val="Website"/>
    <w:basedOn w:val="Normal"/>
    <w:next w:val="Normal"/>
    <w:uiPriority w:val="4"/>
    <w:qFormat/>
    <w:pPr>
      <w:spacing w:before="120"/>
    </w:pPr>
    <w:rPr>
      <w:color w:val="2B7471" w:themeColor="accent1" w:themeShade="8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B7471" w:themeColor="accent1" w:themeShade="80"/>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character" w:styleId="Hyperlink">
    <w:name w:val="Hyperlink"/>
    <w:basedOn w:val="DefaultParagraphFont"/>
    <w:uiPriority w:val="99"/>
    <w:unhideWhenUsed/>
    <w:rsid w:val="009742B0"/>
    <w:rPr>
      <w:color w:val="74CBC8" w:themeColor="hyperlink"/>
      <w:u w:val="single"/>
    </w:rPr>
  </w:style>
  <w:style w:type="paragraph" w:customStyle="1" w:styleId="Default">
    <w:name w:val="Default"/>
    <w:rsid w:val="00D0059A"/>
    <w:pPr>
      <w:widowControl w:val="0"/>
      <w:overflowPunct w:val="0"/>
      <w:autoSpaceDE w:val="0"/>
      <w:autoSpaceDN w:val="0"/>
      <w:adjustRightInd w:val="0"/>
      <w:spacing w:after="0" w:line="285" w:lineRule="auto"/>
    </w:pPr>
    <w:rPr>
      <w:rFonts w:ascii="Arial" w:eastAsia="Times New Roman" w:hAnsi="Arial" w:cs="Arial"/>
      <w:color w:val="000000"/>
      <w:kern w:val="28"/>
      <w:sz w:val="24"/>
      <w:szCs w:val="24"/>
      <w:lang w:eastAsia="en-US"/>
      <w14:ligatures w14:val="none"/>
    </w:rPr>
  </w:style>
  <w:style w:type="paragraph" w:styleId="ListParagraph">
    <w:name w:val="List Paragraph"/>
    <w:basedOn w:val="Normal"/>
    <w:uiPriority w:val="34"/>
    <w:qFormat/>
    <w:rsid w:val="00D0059A"/>
    <w:pPr>
      <w:spacing w:after="0" w:line="240" w:lineRule="auto"/>
      <w:ind w:left="720"/>
      <w:contextualSpacing/>
    </w:pPr>
    <w:rPr>
      <w:rFonts w:eastAsiaTheme="minorEastAsia"/>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d.un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nccasa.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lier\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2.xml><?xml version="1.0" encoding="utf-8"?>
<ds:datastoreItem xmlns:ds="http://schemas.openxmlformats.org/officeDocument/2006/customXml" ds:itemID="{DABBA548-5474-5745-8ADF-06DC0B4E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C:\Users\mparlier\AppData\Roaming\Microsoft\Templates\Tri-fold brochure (blue).dotx</Template>
  <TotalTime>1</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Parlier, Morgan C</dc:creator>
  <cp:keywords/>
  <cp:lastModifiedBy>Pam Palmer</cp:lastModifiedBy>
  <cp:revision>2</cp:revision>
  <cp:lastPrinted>2012-07-24T20:52:00Z</cp:lastPrinted>
  <dcterms:created xsi:type="dcterms:W3CDTF">2019-01-14T22:32:00Z</dcterms:created>
  <dcterms:modified xsi:type="dcterms:W3CDTF">2019-01-14T22:32:00Z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